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6" w:rsidRDefault="00401E46" w:rsidP="00EA0873">
      <w:pPr>
        <w:spacing w:after="120"/>
        <w:jc w:val="center"/>
        <w:rPr>
          <w:rFonts w:eastAsia="Calibri"/>
          <w:b/>
          <w:bCs/>
          <w:i/>
          <w:iCs/>
          <w:color w:val="1F487C"/>
          <w:sz w:val="24"/>
          <w:u w:val="single"/>
          <w:lang w:val="es-MX" w:eastAsia="en-US"/>
        </w:rPr>
      </w:pPr>
      <w:r w:rsidRPr="000F54A2">
        <w:rPr>
          <w:rFonts w:eastAsia="Calibri"/>
          <w:b/>
          <w:bCs/>
          <w:i/>
          <w:iCs/>
          <w:color w:val="1F487C"/>
          <w:sz w:val="24"/>
          <w:u w:val="single"/>
          <w:lang w:val="es-MX" w:eastAsia="en-US"/>
        </w:rPr>
        <w:t xml:space="preserve">Costa Rica </w:t>
      </w:r>
      <w:r w:rsidR="005F7180">
        <w:rPr>
          <w:rFonts w:eastAsia="Calibri"/>
          <w:b/>
          <w:bCs/>
          <w:i/>
          <w:iCs/>
          <w:color w:val="1F487C"/>
          <w:sz w:val="24"/>
          <w:u w:val="single"/>
          <w:lang w:val="es-MX" w:eastAsia="en-US"/>
        </w:rPr>
        <w:t>Natural</w:t>
      </w:r>
    </w:p>
    <w:p w:rsidR="00022176" w:rsidRPr="00022176" w:rsidRDefault="00022176" w:rsidP="00EA0873">
      <w:pPr>
        <w:spacing w:after="120"/>
        <w:jc w:val="center"/>
        <w:rPr>
          <w:rFonts w:eastAsia="Calibri"/>
          <w:b/>
          <w:bCs/>
          <w:i/>
          <w:iCs/>
          <w:color w:val="1F487C"/>
          <w:sz w:val="22"/>
          <w:szCs w:val="22"/>
          <w:lang w:val="es-MX" w:eastAsia="en-US"/>
        </w:rPr>
      </w:pPr>
      <w:r w:rsidRPr="00022176">
        <w:rPr>
          <w:rFonts w:eastAsia="Calibri"/>
          <w:b/>
          <w:bCs/>
          <w:i/>
          <w:iCs/>
          <w:color w:val="1F487C"/>
          <w:sz w:val="22"/>
          <w:szCs w:val="22"/>
          <w:lang w:val="es-MX" w:eastAsia="en-US"/>
        </w:rPr>
        <w:t xml:space="preserve">San José, </w:t>
      </w:r>
      <w:r w:rsidR="00864AF8" w:rsidRPr="00864AF8">
        <w:rPr>
          <w:rFonts w:eastAsia="Calibri"/>
          <w:b/>
          <w:bCs/>
          <w:i/>
          <w:iCs/>
          <w:color w:val="1F487C"/>
          <w:sz w:val="22"/>
          <w:szCs w:val="22"/>
          <w:lang w:val="es-MX" w:eastAsia="en-US"/>
        </w:rPr>
        <w:t xml:space="preserve">Tortuguero, Volcán Arenal </w:t>
      </w:r>
      <w:r w:rsidR="00864AF8">
        <w:rPr>
          <w:rFonts w:eastAsia="Calibri"/>
          <w:b/>
          <w:bCs/>
          <w:i/>
          <w:iCs/>
          <w:color w:val="1F487C"/>
          <w:sz w:val="22"/>
          <w:szCs w:val="22"/>
          <w:lang w:val="es-MX" w:eastAsia="en-US"/>
        </w:rPr>
        <w:t>y</w:t>
      </w:r>
      <w:r w:rsidR="00864AF8" w:rsidRPr="00864AF8">
        <w:rPr>
          <w:rFonts w:eastAsia="Calibri"/>
          <w:b/>
          <w:bCs/>
          <w:i/>
          <w:iCs/>
          <w:color w:val="1F487C"/>
          <w:sz w:val="22"/>
          <w:szCs w:val="22"/>
          <w:lang w:val="es-MX" w:eastAsia="en-US"/>
        </w:rPr>
        <w:t xml:space="preserve"> Manuel Antonio</w:t>
      </w:r>
      <w:r w:rsidR="00864AF8">
        <w:rPr>
          <w:rFonts w:eastAsia="Calibri"/>
          <w:b/>
          <w:bCs/>
          <w:i/>
          <w:iCs/>
          <w:color w:val="1F487C"/>
          <w:sz w:val="22"/>
          <w:szCs w:val="22"/>
          <w:lang w:val="es-MX" w:eastAsia="en-US"/>
        </w:rPr>
        <w:t>,</w:t>
      </w:r>
      <w:r w:rsidR="00864AF8" w:rsidRPr="00864AF8">
        <w:rPr>
          <w:rFonts w:eastAsia="Calibri"/>
          <w:b/>
          <w:bCs/>
          <w:i/>
          <w:iCs/>
          <w:color w:val="1F487C"/>
          <w:sz w:val="22"/>
          <w:szCs w:val="22"/>
          <w:lang w:val="es-MX" w:eastAsia="en-US"/>
        </w:rPr>
        <w:t xml:space="preserve"> </w:t>
      </w:r>
      <w:r w:rsidR="005F7180">
        <w:rPr>
          <w:rFonts w:eastAsia="Calibri"/>
          <w:b/>
          <w:bCs/>
          <w:i/>
          <w:iCs/>
          <w:color w:val="1F487C"/>
          <w:sz w:val="22"/>
          <w:szCs w:val="22"/>
          <w:lang w:val="es-MX" w:eastAsia="en-US"/>
        </w:rPr>
        <w:t>4</w:t>
      </w:r>
      <w:r w:rsidRPr="00022176">
        <w:rPr>
          <w:rFonts w:eastAsia="Calibri"/>
          <w:b/>
          <w:bCs/>
          <w:i/>
          <w:iCs/>
          <w:color w:val="1F487C"/>
          <w:sz w:val="22"/>
          <w:szCs w:val="22"/>
          <w:lang w:val="es-MX" w:eastAsia="en-US"/>
        </w:rPr>
        <w:t xml:space="preserve"> noches</w:t>
      </w:r>
    </w:p>
    <w:p w:rsidR="00401E46" w:rsidRPr="000F54A2" w:rsidRDefault="00401E46" w:rsidP="00EA0873">
      <w:pPr>
        <w:spacing w:after="120"/>
        <w:jc w:val="both"/>
        <w:rPr>
          <w:rFonts w:eastAsia="Calibri"/>
          <w:b/>
          <w:bCs/>
          <w:i/>
          <w:iCs/>
          <w:color w:val="1F487C"/>
          <w:sz w:val="24"/>
          <w:u w:val="single"/>
          <w:lang w:val="es-MX" w:eastAsia="en-US"/>
        </w:rPr>
      </w:pPr>
    </w:p>
    <w:p w:rsidR="0095606C" w:rsidRPr="000F54A2" w:rsidRDefault="005F7180" w:rsidP="00B567C6">
      <w:pPr>
        <w:spacing w:after="120"/>
        <w:jc w:val="both"/>
        <w:rPr>
          <w:i/>
          <w:sz w:val="18"/>
          <w:szCs w:val="18"/>
        </w:rPr>
      </w:pPr>
      <w:r w:rsidRPr="005F7180">
        <w:rPr>
          <w:rFonts w:eastAsia="Calibri"/>
          <w:bCs/>
          <w:i/>
          <w:iCs/>
          <w:sz w:val="18"/>
          <w:szCs w:val="18"/>
          <w:lang w:val="es-MX" w:eastAsia="en-US"/>
        </w:rPr>
        <w:t>Este programa es para aquellas personas quienes desean disfrutar en pocos días la grandiosa naturaleza que ofrece Costa Rica. Podrá disfrutar de un recorrido por un paradisíaco archipiélago compuesto por varias islas, con una riqueza natural exuberante y un santuario que alberga aves marinas y playas de arenas blancas; hasta llegar a la magnífica Isla Tortuga, la cual, por su característica geográfica, sus aguas son de tono turquesa y son óptimas para nadar. Además, podrá disfrutar del impresionante Volcán Arenal y las extraordinarias aguas termales de Tabacón donde usted podrá disfrutar de diversas piscinas que fluyen a través del Río Tabacón y que son calentadas directamente desde las venas volcánicas del volcán Arenal</w:t>
      </w:r>
      <w:r w:rsidR="00401E46" w:rsidRPr="000F54A2">
        <w:rPr>
          <w:rFonts w:eastAsia="Calibri"/>
          <w:bCs/>
          <w:i/>
          <w:iCs/>
          <w:sz w:val="18"/>
          <w:szCs w:val="18"/>
          <w:lang w:val="es-MX" w:eastAsia="en-US"/>
        </w:rPr>
        <w:t>.</w:t>
      </w:r>
    </w:p>
    <w:p w:rsidR="00A817DE" w:rsidRPr="000F54A2" w:rsidRDefault="00A817DE" w:rsidP="00B567C6">
      <w:pPr>
        <w:spacing w:after="120"/>
        <w:ind w:firstLine="708"/>
        <w:jc w:val="both"/>
        <w:rPr>
          <w:sz w:val="18"/>
          <w:szCs w:val="18"/>
        </w:rPr>
      </w:pPr>
    </w:p>
    <w:p w:rsidR="00135BB1" w:rsidRPr="000F54A2" w:rsidRDefault="00135BB1" w:rsidP="00B567C6">
      <w:pPr>
        <w:pStyle w:val="NormalWeb"/>
        <w:spacing w:before="0" w:beforeAutospacing="0" w:after="120" w:afterAutospacing="0"/>
        <w:rPr>
          <w:rFonts w:eastAsia="Calibri"/>
          <w:b/>
          <w:bCs/>
          <w:i/>
          <w:iCs/>
          <w:color w:val="1F487C"/>
          <w:u w:val="single"/>
          <w:lang w:eastAsia="en-US"/>
        </w:rPr>
      </w:pPr>
      <w:r w:rsidRPr="000F54A2">
        <w:rPr>
          <w:rFonts w:eastAsia="Calibri"/>
          <w:b/>
          <w:bCs/>
          <w:i/>
          <w:iCs/>
          <w:color w:val="1F487C"/>
          <w:u w:val="single"/>
          <w:lang w:eastAsia="en-US"/>
        </w:rPr>
        <w:t>ITINERARIO</w:t>
      </w:r>
    </w:p>
    <w:p w:rsidR="00401E46" w:rsidRPr="000F54A2" w:rsidRDefault="00A817DE" w:rsidP="00B567C6">
      <w:pPr>
        <w:spacing w:after="100"/>
        <w:jc w:val="both"/>
        <w:rPr>
          <w:b/>
          <w:sz w:val="18"/>
          <w:szCs w:val="18"/>
        </w:rPr>
      </w:pPr>
      <w:r w:rsidRPr="000F54A2">
        <w:rPr>
          <w:b/>
          <w:sz w:val="18"/>
          <w:szCs w:val="18"/>
        </w:rPr>
        <w:t xml:space="preserve">DÍA 1: </w:t>
      </w:r>
      <w:r w:rsidR="00401E46" w:rsidRPr="000F54A2">
        <w:rPr>
          <w:b/>
          <w:sz w:val="18"/>
          <w:szCs w:val="18"/>
        </w:rPr>
        <w:t xml:space="preserve">AEROPUERTO INTERNACIONAL SJO – SAN </w:t>
      </w:r>
      <w:r w:rsidR="001345ED">
        <w:rPr>
          <w:b/>
          <w:sz w:val="18"/>
          <w:szCs w:val="18"/>
        </w:rPr>
        <w:t>JOSÉ</w:t>
      </w:r>
    </w:p>
    <w:p w:rsidR="001E64A7" w:rsidRPr="000F54A2" w:rsidRDefault="00401E46" w:rsidP="00B567C6">
      <w:pPr>
        <w:spacing w:after="100"/>
        <w:jc w:val="both"/>
        <w:rPr>
          <w:sz w:val="18"/>
          <w:szCs w:val="18"/>
        </w:rPr>
      </w:pPr>
      <w:r w:rsidRPr="000F54A2">
        <w:rPr>
          <w:sz w:val="18"/>
          <w:szCs w:val="18"/>
        </w:rPr>
        <w:t xml:space="preserve">A su llegada </w:t>
      </w:r>
      <w:r w:rsidR="001345ED" w:rsidRPr="001345ED">
        <w:rPr>
          <w:sz w:val="18"/>
          <w:szCs w:val="18"/>
        </w:rPr>
        <w:t xml:space="preserve">al Aeropuerto Internacional </w:t>
      </w:r>
      <w:r w:rsidR="00864AF8" w:rsidRPr="00864AF8">
        <w:rPr>
          <w:sz w:val="18"/>
          <w:szCs w:val="18"/>
        </w:rPr>
        <w:t>Juan Santamaría de Costa Rica, uno de nuestros representantes les estará esperando a la salida de la terminal aérea para darles la bienvenida, brindarles la información necesaria de su viaje y luego trasladarles hacia el área de San José donde se hospedarán la primera noche</w:t>
      </w:r>
      <w:r w:rsidR="00B928B4" w:rsidRPr="000F54A2">
        <w:rPr>
          <w:sz w:val="18"/>
          <w:szCs w:val="18"/>
        </w:rPr>
        <w:t>.</w:t>
      </w:r>
    </w:p>
    <w:p w:rsidR="001E64A7" w:rsidRPr="000F54A2" w:rsidRDefault="001E64A7" w:rsidP="00B567C6">
      <w:pPr>
        <w:spacing w:after="100"/>
        <w:rPr>
          <w:b/>
          <w:color w:val="000000" w:themeColor="text1"/>
          <w:sz w:val="18"/>
          <w:szCs w:val="18"/>
        </w:rPr>
      </w:pPr>
    </w:p>
    <w:p w:rsidR="00A817DE" w:rsidRPr="000F54A2" w:rsidRDefault="00A817DE" w:rsidP="00B567C6">
      <w:pPr>
        <w:spacing w:after="100"/>
        <w:rPr>
          <w:b/>
          <w:color w:val="000000" w:themeColor="text1"/>
          <w:sz w:val="18"/>
          <w:szCs w:val="18"/>
        </w:rPr>
      </w:pPr>
      <w:r w:rsidRPr="000F54A2">
        <w:rPr>
          <w:b/>
          <w:color w:val="000000" w:themeColor="text1"/>
          <w:sz w:val="18"/>
          <w:szCs w:val="18"/>
        </w:rPr>
        <w:t xml:space="preserve">DÍA 2: </w:t>
      </w:r>
      <w:r w:rsidR="00401E46" w:rsidRPr="000F54A2">
        <w:rPr>
          <w:b/>
          <w:sz w:val="18"/>
          <w:szCs w:val="18"/>
        </w:rPr>
        <w:t xml:space="preserve">SAN </w:t>
      </w:r>
      <w:r w:rsidR="000F54A2" w:rsidRPr="000F54A2">
        <w:rPr>
          <w:b/>
          <w:sz w:val="18"/>
          <w:szCs w:val="18"/>
        </w:rPr>
        <w:t>JOSÉ</w:t>
      </w:r>
    </w:p>
    <w:p w:rsidR="005F7180" w:rsidRPr="005F7180" w:rsidRDefault="00401E46" w:rsidP="00B567C6">
      <w:pPr>
        <w:spacing w:after="100"/>
        <w:jc w:val="both"/>
        <w:rPr>
          <w:color w:val="000000" w:themeColor="text1"/>
          <w:sz w:val="18"/>
          <w:szCs w:val="18"/>
        </w:rPr>
      </w:pPr>
      <w:r w:rsidRPr="000F54A2">
        <w:rPr>
          <w:b/>
          <w:color w:val="000000" w:themeColor="text1"/>
          <w:sz w:val="18"/>
          <w:szCs w:val="18"/>
        </w:rPr>
        <w:t>Desayuno</w:t>
      </w:r>
      <w:r w:rsidR="005F7180">
        <w:rPr>
          <w:b/>
          <w:color w:val="000000" w:themeColor="text1"/>
          <w:sz w:val="18"/>
          <w:szCs w:val="18"/>
        </w:rPr>
        <w:t xml:space="preserve"> y </w:t>
      </w:r>
      <w:r w:rsidR="00864AF8">
        <w:rPr>
          <w:b/>
          <w:color w:val="000000" w:themeColor="text1"/>
          <w:sz w:val="18"/>
          <w:szCs w:val="18"/>
        </w:rPr>
        <w:t>almuerzo</w:t>
      </w:r>
      <w:r w:rsidRPr="000F54A2">
        <w:rPr>
          <w:b/>
          <w:color w:val="000000" w:themeColor="text1"/>
          <w:sz w:val="18"/>
          <w:szCs w:val="18"/>
        </w:rPr>
        <w:t xml:space="preserve">. </w:t>
      </w:r>
      <w:r w:rsidR="005F7180" w:rsidRPr="005F7180">
        <w:rPr>
          <w:color w:val="000000" w:themeColor="text1"/>
          <w:sz w:val="18"/>
          <w:szCs w:val="18"/>
        </w:rPr>
        <w:t>Este día disfrutaremos de una maravillosa excursión. Para dar inicio al recorrido se toma la Autopista 27 hasta el puerto de Puntarenas para embarcarse hacia un paradisíaco archipiélago compuesto por varias islas, con una riqueza natural exuberante y un santuario que alberga aves marinas y playas de arenas blancas; además, posee una flora y fauna propias del pacífico central costarricense. En este bello archipiélago se encuentra la Isla Tortuga.</w:t>
      </w:r>
    </w:p>
    <w:p w:rsidR="00927CC9" w:rsidRPr="000F54A2" w:rsidRDefault="005F7180" w:rsidP="00B567C6">
      <w:pPr>
        <w:spacing w:after="100"/>
        <w:jc w:val="both"/>
        <w:rPr>
          <w:sz w:val="18"/>
          <w:szCs w:val="18"/>
        </w:rPr>
      </w:pPr>
      <w:r w:rsidRPr="005F7180">
        <w:rPr>
          <w:color w:val="000000" w:themeColor="text1"/>
          <w:sz w:val="18"/>
          <w:szCs w:val="18"/>
        </w:rPr>
        <w:t>Ubicada a 12 millas náuticas de Puntarenas, Isla Tortuga posee una extensión de 120 hectáreas y se mantiene como un bosque protegido; el cual, goza de la Bandera Azul Ecológica desde hace más de cinco años. Esta distinción se entrega a playas de nuestro país que poseen sus aguas libres de contaminación. Por su característica geográfica, sus aguas son de tono turquesa y son óptimas para nadar</w:t>
      </w:r>
      <w:r w:rsidR="000F54A2">
        <w:rPr>
          <w:color w:val="000000" w:themeColor="text1"/>
          <w:sz w:val="18"/>
          <w:szCs w:val="18"/>
        </w:rPr>
        <w:t>.</w:t>
      </w:r>
    </w:p>
    <w:p w:rsidR="00B928B4" w:rsidRPr="000F54A2" w:rsidRDefault="00B928B4" w:rsidP="00B567C6">
      <w:pPr>
        <w:pStyle w:val="Prrafodelista"/>
        <w:spacing w:after="100"/>
        <w:contextualSpacing w:val="0"/>
        <w:rPr>
          <w:sz w:val="18"/>
          <w:szCs w:val="18"/>
        </w:rPr>
      </w:pPr>
    </w:p>
    <w:p w:rsidR="001345ED" w:rsidRPr="00B567C6" w:rsidRDefault="000C2CDE" w:rsidP="00B567C6">
      <w:pPr>
        <w:pStyle w:val="NormalWeb"/>
        <w:shd w:val="clear" w:color="auto" w:fill="FFFFFF"/>
        <w:spacing w:before="0" w:beforeAutospacing="0" w:afterAutospacing="0"/>
        <w:rPr>
          <w:b/>
          <w:color w:val="000000" w:themeColor="text1"/>
        </w:rPr>
      </w:pPr>
      <w:r w:rsidRPr="00B567C6">
        <w:rPr>
          <w:b/>
          <w:color w:val="000000" w:themeColor="text1"/>
        </w:rPr>
        <w:t xml:space="preserve">DÍA 3: </w:t>
      </w:r>
      <w:r w:rsidR="005F7180" w:rsidRPr="00B567C6">
        <w:rPr>
          <w:b/>
          <w:color w:val="000000" w:themeColor="text1"/>
        </w:rPr>
        <w:t>SAN JOSÉ</w:t>
      </w:r>
    </w:p>
    <w:p w:rsidR="00401E46" w:rsidRPr="000F54A2" w:rsidRDefault="00F74965" w:rsidP="00B567C6">
      <w:pPr>
        <w:pStyle w:val="NormalWeb"/>
        <w:shd w:val="clear" w:color="auto" w:fill="FFFFFF"/>
        <w:spacing w:before="0" w:beforeAutospacing="0" w:afterAutospacing="0"/>
        <w:rPr>
          <w:color w:val="auto"/>
        </w:rPr>
      </w:pPr>
      <w:r w:rsidRPr="000F54A2">
        <w:rPr>
          <w:b/>
          <w:color w:val="000000" w:themeColor="text1"/>
        </w:rPr>
        <w:t>Desayuno</w:t>
      </w:r>
      <w:r w:rsidR="001345ED">
        <w:rPr>
          <w:b/>
          <w:color w:val="000000" w:themeColor="text1"/>
        </w:rPr>
        <w:t xml:space="preserve">, almuerzo </w:t>
      </w:r>
      <w:r w:rsidR="00401E46" w:rsidRPr="001345ED">
        <w:rPr>
          <w:b/>
          <w:color w:val="auto"/>
        </w:rPr>
        <w:t xml:space="preserve">y </w:t>
      </w:r>
      <w:r w:rsidR="0027519B">
        <w:rPr>
          <w:b/>
          <w:color w:val="auto"/>
        </w:rPr>
        <w:t>c</w:t>
      </w:r>
      <w:r w:rsidR="00401E46" w:rsidRPr="001345ED">
        <w:rPr>
          <w:b/>
          <w:color w:val="auto"/>
        </w:rPr>
        <w:t>ena</w:t>
      </w:r>
      <w:r w:rsidR="00401E46" w:rsidRPr="000F54A2">
        <w:rPr>
          <w:color w:val="auto"/>
        </w:rPr>
        <w:t xml:space="preserve">. </w:t>
      </w:r>
      <w:r w:rsidR="005F7180" w:rsidRPr="005F7180">
        <w:rPr>
          <w:color w:val="auto"/>
        </w:rPr>
        <w:t>El impresionante volcán Arenal es una maravilla natural ubicada en la zona norte del país y un lugar imperdible en su visita a Costa Rica. Hoy nos trasladaremos desde San José hacia las llanuras de la zona norte de país, deteniéndonos durante el recorrido en el famoso pueblo de Sarchí, conocido internacionalmente por sus laboriosos artesanos que dan renombre a este pueblo como “La Cuna de la Artesanía Costarricense”. Nuestro trayecto continuará a través de plantaciones de diversos productos agrícolas, plantas ornamentales y fincas de ganado hasta llegar al pueblo de La Fortuna, para tomar el almuerzo en un acogedor restaurante justo frente al volcán. Si el clima lo permite, esta ubicación facilita una vista insuperable del imponente volcán Arenal. Concluido el almuerzo continuaremos hacia las mágicas aguas termales de Tabacon, aquí encontrará diversas piscinas que fluyen a través del Río Tabacón y que son calentadas directamente desde las venas volcánicas del volcán Arenal, las relajantes cascadas le harán sentirse rejuvenecido gracias a los beneficios que le otorgan a su salud; mejora la circulación sanguínea y la oxigenación, elimina toxinas del cuerpo, estimula el metabolismo y ayuda a la digestión, así como promover la relajación y mejora del funcionamiento del sistema nervioso, entre otros. Todo esto rodeado de exóticos jardines que le harán disfrutar de un entorno natural y único. Para cerrar con broche de oro disfrutará de una deliciosa cena para luego iniciar el viaje de regreso a la ciudad de San José</w:t>
      </w:r>
      <w:r w:rsidR="001345ED">
        <w:rPr>
          <w:color w:val="auto"/>
        </w:rPr>
        <w:t>.</w:t>
      </w:r>
    </w:p>
    <w:p w:rsidR="003A6942" w:rsidRPr="000F54A2" w:rsidRDefault="003A6942" w:rsidP="00B567C6">
      <w:pPr>
        <w:pStyle w:val="NormalWeb"/>
        <w:shd w:val="clear" w:color="auto" w:fill="FFFFFF"/>
        <w:spacing w:before="0" w:beforeAutospacing="0" w:afterAutospacing="0"/>
        <w:rPr>
          <w:color w:val="auto"/>
        </w:rPr>
      </w:pPr>
    </w:p>
    <w:p w:rsidR="00A161B3" w:rsidRDefault="00F43149" w:rsidP="00B567C6">
      <w:pPr>
        <w:spacing w:after="100"/>
        <w:rPr>
          <w:b/>
          <w:color w:val="000000" w:themeColor="text1"/>
        </w:rPr>
      </w:pPr>
      <w:r w:rsidRPr="000F54A2">
        <w:rPr>
          <w:b/>
          <w:sz w:val="18"/>
          <w:szCs w:val="18"/>
        </w:rPr>
        <w:t xml:space="preserve">DÍA 4: </w:t>
      </w:r>
      <w:r w:rsidR="005F7180" w:rsidRPr="005F7180">
        <w:rPr>
          <w:b/>
        </w:rPr>
        <w:t>SAN JOSÉ</w:t>
      </w:r>
      <w:r w:rsidR="005F7180" w:rsidRPr="005F7180">
        <w:rPr>
          <w:b/>
        </w:rPr>
        <w:tab/>
      </w:r>
    </w:p>
    <w:p w:rsidR="002A5B39" w:rsidRPr="000F54A2" w:rsidRDefault="00A161B3" w:rsidP="00B567C6">
      <w:pPr>
        <w:spacing w:after="100"/>
        <w:rPr>
          <w:sz w:val="18"/>
          <w:szCs w:val="18"/>
        </w:rPr>
      </w:pPr>
      <w:r w:rsidRPr="000F54A2">
        <w:rPr>
          <w:b/>
          <w:color w:val="000000" w:themeColor="text1"/>
        </w:rPr>
        <w:t>Desayuno</w:t>
      </w:r>
      <w:r w:rsidR="00401E46" w:rsidRPr="000F54A2">
        <w:rPr>
          <w:b/>
          <w:sz w:val="18"/>
          <w:szCs w:val="18"/>
        </w:rPr>
        <w:t xml:space="preserve">. </w:t>
      </w:r>
      <w:r w:rsidR="005F7180" w:rsidRPr="005F7180">
        <w:rPr>
          <w:sz w:val="18"/>
          <w:szCs w:val="18"/>
        </w:rPr>
        <w:t>Día libre para disfrutar las comodidades del hotel o bien realizar visita a algún centro comercial u optar por alguna excursión. (Costo adicional)</w:t>
      </w:r>
      <w:r>
        <w:rPr>
          <w:sz w:val="18"/>
          <w:szCs w:val="18"/>
        </w:rPr>
        <w:t>.</w:t>
      </w:r>
    </w:p>
    <w:p w:rsidR="000F54A2" w:rsidRDefault="000F54A2" w:rsidP="00B567C6">
      <w:pPr>
        <w:pStyle w:val="NormalWeb"/>
        <w:shd w:val="clear" w:color="auto" w:fill="FFFFFF"/>
        <w:spacing w:before="0" w:beforeAutospacing="0" w:afterAutospacing="0"/>
        <w:rPr>
          <w:b/>
          <w:color w:val="000000" w:themeColor="text1"/>
        </w:rPr>
      </w:pPr>
    </w:p>
    <w:p w:rsidR="00A161B3" w:rsidRPr="000F54A2" w:rsidRDefault="00A161B3" w:rsidP="00B567C6">
      <w:pPr>
        <w:pStyle w:val="NormalWeb"/>
        <w:shd w:val="clear" w:color="auto" w:fill="FFFFFF"/>
        <w:spacing w:before="0" w:beforeAutospacing="0" w:afterAutospacing="0"/>
        <w:rPr>
          <w:b/>
          <w:color w:val="000000" w:themeColor="text1"/>
        </w:rPr>
      </w:pPr>
      <w:r w:rsidRPr="000F54A2">
        <w:rPr>
          <w:b/>
          <w:color w:val="000000" w:themeColor="text1"/>
        </w:rPr>
        <w:t xml:space="preserve">DÍA </w:t>
      </w:r>
      <w:r w:rsidR="005F7180">
        <w:rPr>
          <w:b/>
          <w:color w:val="000000" w:themeColor="text1"/>
        </w:rPr>
        <w:t>5</w:t>
      </w:r>
      <w:r w:rsidRPr="000F54A2">
        <w:rPr>
          <w:b/>
          <w:color w:val="000000" w:themeColor="text1"/>
        </w:rPr>
        <w:t xml:space="preserve">: </w:t>
      </w:r>
      <w:r w:rsidR="005F7180">
        <w:rPr>
          <w:b/>
          <w:color w:val="000000" w:themeColor="text1"/>
        </w:rPr>
        <w:t>SAN JOSÉ</w:t>
      </w:r>
      <w:r w:rsidRPr="00A161B3">
        <w:rPr>
          <w:b/>
          <w:color w:val="000000" w:themeColor="text1"/>
        </w:rPr>
        <w:t xml:space="preserve"> – AEROPUERTO INTERNACIONAL SJO</w:t>
      </w:r>
    </w:p>
    <w:p w:rsidR="00A161B3" w:rsidRPr="00A161B3" w:rsidRDefault="00A161B3" w:rsidP="00B567C6">
      <w:pPr>
        <w:spacing w:after="100"/>
        <w:jc w:val="both"/>
        <w:rPr>
          <w:sz w:val="18"/>
          <w:szCs w:val="18"/>
        </w:rPr>
      </w:pPr>
      <w:r w:rsidRPr="000F54A2">
        <w:rPr>
          <w:b/>
          <w:color w:val="000000" w:themeColor="text1"/>
        </w:rPr>
        <w:t>Desayuno.</w:t>
      </w:r>
      <w:r>
        <w:rPr>
          <w:b/>
          <w:color w:val="000000" w:themeColor="text1"/>
        </w:rPr>
        <w:t xml:space="preserve"> </w:t>
      </w:r>
      <w:r w:rsidR="005F7180" w:rsidRPr="005F7180">
        <w:rPr>
          <w:color w:val="000000" w:themeColor="text1"/>
        </w:rPr>
        <w:t>Después de disfrutar de una inolvidable visita a Costa Rica, está programado el traslado desde el hotel seleccionado en San José, hasta el Aeropuerto Internacional Juan Santamaría SJO, para abordar su vuelo de regreso a casa</w:t>
      </w:r>
      <w:r w:rsidRPr="00A161B3">
        <w:rPr>
          <w:color w:val="000000" w:themeColor="text1"/>
        </w:rPr>
        <w:t>.</w:t>
      </w:r>
    </w:p>
    <w:p w:rsidR="00C236C6" w:rsidRPr="000F54A2" w:rsidRDefault="003B4371" w:rsidP="00B567C6">
      <w:pPr>
        <w:spacing w:after="120"/>
        <w:jc w:val="center"/>
        <w:rPr>
          <w:sz w:val="18"/>
          <w:szCs w:val="18"/>
        </w:rPr>
      </w:pPr>
      <w:r w:rsidRPr="000F54A2">
        <w:rPr>
          <w:sz w:val="18"/>
          <w:szCs w:val="18"/>
        </w:rPr>
        <w:t>Fin de nuestros servicios</w:t>
      </w:r>
    </w:p>
    <w:p w:rsidR="00C64BD3" w:rsidRPr="000F54A2" w:rsidRDefault="00C64BD3" w:rsidP="00EA0873">
      <w:pPr>
        <w:spacing w:after="120"/>
        <w:rPr>
          <w:rFonts w:eastAsia="Calibri"/>
          <w:b/>
          <w:bCs/>
          <w:i/>
          <w:iCs/>
          <w:color w:val="1F487C"/>
          <w:sz w:val="18"/>
          <w:szCs w:val="18"/>
          <w:u w:val="single"/>
        </w:rPr>
      </w:pPr>
      <w:r w:rsidRPr="000F54A2">
        <w:rPr>
          <w:rFonts w:eastAsia="Calibri"/>
          <w:b/>
          <w:bCs/>
          <w:i/>
          <w:iCs/>
          <w:color w:val="1F487C"/>
          <w:sz w:val="18"/>
          <w:szCs w:val="18"/>
          <w:u w:val="single"/>
        </w:rPr>
        <w:lastRenderedPageBreak/>
        <w:t xml:space="preserve">Precios en </w:t>
      </w:r>
      <w:r w:rsidR="00BC6EE8" w:rsidRPr="000F54A2">
        <w:rPr>
          <w:rFonts w:eastAsia="Calibri"/>
          <w:b/>
          <w:bCs/>
          <w:i/>
          <w:iCs/>
          <w:color w:val="1F487C"/>
          <w:sz w:val="18"/>
          <w:szCs w:val="18"/>
          <w:u w:val="single"/>
        </w:rPr>
        <w:t>USD</w:t>
      </w:r>
      <w:r w:rsidRPr="000F54A2">
        <w:rPr>
          <w:rFonts w:eastAsia="Calibri"/>
          <w:b/>
          <w:bCs/>
          <w:i/>
          <w:iCs/>
          <w:color w:val="1F487C"/>
          <w:sz w:val="18"/>
          <w:szCs w:val="18"/>
          <w:u w:val="single"/>
        </w:rPr>
        <w:t xml:space="preserve"> por persona en doble </w:t>
      </w: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Estándar: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A27167" w:rsidRPr="000F54A2" w:rsidTr="00C50DB3">
        <w:trPr>
          <w:trHeight w:val="282"/>
        </w:trPr>
        <w:tc>
          <w:tcPr>
            <w:tcW w:w="2104"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CST</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EA0873">
            <w:pPr>
              <w:spacing w:after="120"/>
              <w:jc w:val="both"/>
              <w:rPr>
                <w:sz w:val="18"/>
                <w:szCs w:val="18"/>
              </w:rPr>
            </w:pPr>
            <w:r w:rsidRPr="000F54A2">
              <w:rPr>
                <w:b/>
                <w:sz w:val="18"/>
                <w:szCs w:val="18"/>
              </w:rPr>
              <w:t>San José</w:t>
            </w:r>
          </w:p>
        </w:tc>
        <w:tc>
          <w:tcPr>
            <w:tcW w:w="2340" w:type="dxa"/>
            <w:shd w:val="clear" w:color="auto" w:fill="C6D9F1" w:themeFill="text2" w:themeFillTint="33"/>
            <w:vAlign w:val="center"/>
          </w:tcPr>
          <w:p w:rsidR="00A27167" w:rsidRPr="000F54A2" w:rsidRDefault="00A27167" w:rsidP="00EA0873">
            <w:pPr>
              <w:spacing w:after="120"/>
              <w:jc w:val="both"/>
              <w:rPr>
                <w:sz w:val="18"/>
                <w:szCs w:val="18"/>
              </w:rPr>
            </w:pPr>
            <w:r w:rsidRPr="000F54A2">
              <w:rPr>
                <w:sz w:val="18"/>
                <w:szCs w:val="18"/>
              </w:rPr>
              <w:t>Sleep Inn</w:t>
            </w:r>
          </w:p>
        </w:tc>
        <w:tc>
          <w:tcPr>
            <w:tcW w:w="135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3 estrellas</w:t>
            </w:r>
          </w:p>
        </w:tc>
        <w:tc>
          <w:tcPr>
            <w:tcW w:w="216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Estándar</w:t>
            </w:r>
          </w:p>
        </w:tc>
        <w:tc>
          <w:tcPr>
            <w:tcW w:w="72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 xml:space="preserve">4 </w:t>
            </w:r>
            <w:r w:rsidRPr="000F54A2">
              <w:rPr>
                <w:i/>
                <w:noProof/>
                <w:sz w:val="18"/>
                <w:szCs w:val="18"/>
                <w:lang w:val="es-MX" w:eastAsia="es-MX"/>
              </w:rPr>
              <w:drawing>
                <wp:inline distT="0" distB="0" distL="0" distR="0" wp14:anchorId="40770FF3" wp14:editId="32ABB58B">
                  <wp:extent cx="114300" cy="1238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bl>
    <w:p w:rsidR="00A27167" w:rsidRDefault="00A27167" w:rsidP="00EA0873">
      <w:pPr>
        <w:spacing w:after="120"/>
        <w:jc w:val="both"/>
        <w:rPr>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552"/>
        <w:gridCol w:w="1217"/>
        <w:gridCol w:w="1218"/>
        <w:gridCol w:w="1218"/>
        <w:gridCol w:w="1218"/>
        <w:gridCol w:w="1218"/>
      </w:tblGrid>
      <w:tr w:rsidR="00BC6EE8" w:rsidRPr="000F54A2" w:rsidTr="00B567C6">
        <w:trPr>
          <w:trHeight w:val="430"/>
        </w:trPr>
        <w:tc>
          <w:tcPr>
            <w:tcW w:w="2552" w:type="dxa"/>
            <w:vMerge w:val="restart"/>
            <w:shd w:val="clear" w:color="auto" w:fill="D9D9D9" w:themeFill="background1" w:themeFillShade="D9"/>
            <w:vAlign w:val="center"/>
          </w:tcPr>
          <w:p w:rsidR="00BC6EE8" w:rsidRPr="000F54A2" w:rsidRDefault="00BC6EE8" w:rsidP="00B567C6">
            <w:pPr>
              <w:jc w:val="both"/>
              <w:rPr>
                <w:b/>
                <w:sz w:val="18"/>
                <w:szCs w:val="18"/>
                <w:lang w:bidi="en-US"/>
              </w:rPr>
            </w:pPr>
            <w:r w:rsidRPr="000F54A2">
              <w:rPr>
                <w:b/>
                <w:sz w:val="18"/>
                <w:szCs w:val="18"/>
                <w:lang w:bidi="en-US"/>
              </w:rPr>
              <w:t>Periodo Validez</w:t>
            </w:r>
          </w:p>
        </w:tc>
        <w:tc>
          <w:tcPr>
            <w:tcW w:w="6089" w:type="dxa"/>
            <w:gridSpan w:val="5"/>
            <w:shd w:val="clear" w:color="auto" w:fill="D9D9D9" w:themeFill="background1" w:themeFillShade="D9"/>
            <w:vAlign w:val="center"/>
          </w:tcPr>
          <w:p w:rsidR="00BC6EE8" w:rsidRPr="000F54A2" w:rsidRDefault="003202BE" w:rsidP="00B567C6">
            <w:pPr>
              <w:jc w:val="center"/>
              <w:rPr>
                <w:b/>
                <w:sz w:val="18"/>
                <w:szCs w:val="18"/>
                <w:lang w:bidi="en-US"/>
              </w:rPr>
            </w:pPr>
            <w:r>
              <w:rPr>
                <w:b/>
                <w:sz w:val="18"/>
                <w:szCs w:val="18"/>
                <w:lang w:bidi="en-US"/>
              </w:rPr>
              <w:t>OCUPACIÓN</w:t>
            </w:r>
          </w:p>
        </w:tc>
      </w:tr>
      <w:tr w:rsidR="00AC31CC" w:rsidRPr="000F54A2" w:rsidTr="00B567C6">
        <w:trPr>
          <w:trHeight w:val="349"/>
        </w:trPr>
        <w:tc>
          <w:tcPr>
            <w:tcW w:w="2552" w:type="dxa"/>
            <w:vMerge/>
            <w:shd w:val="clear" w:color="auto" w:fill="D9D9D9" w:themeFill="background1" w:themeFillShade="D9"/>
            <w:vAlign w:val="center"/>
          </w:tcPr>
          <w:p w:rsidR="00BC6EE8" w:rsidRPr="000F54A2" w:rsidRDefault="00BC6EE8" w:rsidP="00B567C6">
            <w:pPr>
              <w:jc w:val="both"/>
              <w:rPr>
                <w:b/>
                <w:sz w:val="18"/>
                <w:szCs w:val="18"/>
                <w:lang w:bidi="en-US"/>
              </w:rPr>
            </w:pPr>
          </w:p>
        </w:tc>
        <w:tc>
          <w:tcPr>
            <w:tcW w:w="1217" w:type="dxa"/>
            <w:shd w:val="clear" w:color="auto" w:fill="D9D9D9" w:themeFill="background1" w:themeFillShade="D9"/>
            <w:vAlign w:val="center"/>
          </w:tcPr>
          <w:p w:rsidR="00BC6EE8" w:rsidRPr="000F54A2" w:rsidRDefault="00BC6EE8" w:rsidP="00B567C6">
            <w:pPr>
              <w:jc w:val="center"/>
              <w:rPr>
                <w:b/>
                <w:sz w:val="18"/>
                <w:szCs w:val="18"/>
                <w:lang w:bidi="en-US"/>
              </w:rPr>
            </w:pPr>
            <w:r w:rsidRPr="000F54A2">
              <w:rPr>
                <w:b/>
                <w:sz w:val="18"/>
                <w:szCs w:val="18"/>
                <w:lang w:bidi="en-US"/>
              </w:rPr>
              <w:t>SENCILLA</w:t>
            </w:r>
          </w:p>
        </w:tc>
        <w:tc>
          <w:tcPr>
            <w:tcW w:w="1218" w:type="dxa"/>
            <w:shd w:val="clear" w:color="auto" w:fill="D9D9D9" w:themeFill="background1" w:themeFillShade="D9"/>
            <w:vAlign w:val="center"/>
          </w:tcPr>
          <w:p w:rsidR="00BC6EE8" w:rsidRPr="000F54A2" w:rsidRDefault="00BC6EE8" w:rsidP="00B567C6">
            <w:pPr>
              <w:jc w:val="center"/>
              <w:rPr>
                <w:b/>
                <w:sz w:val="18"/>
                <w:szCs w:val="18"/>
                <w:lang w:bidi="en-US"/>
              </w:rPr>
            </w:pPr>
            <w:r w:rsidRPr="000F54A2">
              <w:rPr>
                <w:b/>
                <w:sz w:val="18"/>
                <w:szCs w:val="18"/>
                <w:lang w:bidi="en-US"/>
              </w:rPr>
              <w:t>DOBLE</w:t>
            </w:r>
          </w:p>
        </w:tc>
        <w:tc>
          <w:tcPr>
            <w:tcW w:w="1218" w:type="dxa"/>
            <w:shd w:val="clear" w:color="auto" w:fill="D9D9D9" w:themeFill="background1" w:themeFillShade="D9"/>
            <w:vAlign w:val="center"/>
          </w:tcPr>
          <w:p w:rsidR="00BC6EE8" w:rsidRPr="000F54A2" w:rsidRDefault="00BC6EE8" w:rsidP="00B567C6">
            <w:pPr>
              <w:jc w:val="center"/>
              <w:rPr>
                <w:b/>
                <w:sz w:val="18"/>
                <w:szCs w:val="18"/>
                <w:lang w:bidi="en-US"/>
              </w:rPr>
            </w:pPr>
            <w:r w:rsidRPr="000F54A2">
              <w:rPr>
                <w:b/>
                <w:sz w:val="18"/>
                <w:szCs w:val="18"/>
                <w:lang w:bidi="en-US"/>
              </w:rPr>
              <w:t>TRIPLE</w:t>
            </w:r>
          </w:p>
        </w:tc>
        <w:tc>
          <w:tcPr>
            <w:tcW w:w="1218" w:type="dxa"/>
            <w:shd w:val="clear" w:color="auto" w:fill="D9D9D9" w:themeFill="background1" w:themeFillShade="D9"/>
            <w:vAlign w:val="center"/>
          </w:tcPr>
          <w:p w:rsidR="00BC6EE8" w:rsidRPr="000F54A2" w:rsidRDefault="00BC6EE8" w:rsidP="00B567C6">
            <w:pPr>
              <w:jc w:val="center"/>
              <w:rPr>
                <w:b/>
                <w:sz w:val="18"/>
                <w:szCs w:val="18"/>
                <w:lang w:bidi="en-US"/>
              </w:rPr>
            </w:pPr>
            <w:r w:rsidRPr="000F54A2">
              <w:rPr>
                <w:b/>
                <w:sz w:val="18"/>
                <w:szCs w:val="18"/>
                <w:lang w:bidi="en-US"/>
              </w:rPr>
              <w:t>NIÑO</w:t>
            </w:r>
            <w:r w:rsidRPr="003202BE">
              <w:rPr>
                <w:b/>
                <w:color w:val="FF0000"/>
                <w:sz w:val="18"/>
                <w:szCs w:val="18"/>
                <w:lang w:bidi="en-US"/>
              </w:rPr>
              <w:t>**</w:t>
            </w:r>
          </w:p>
        </w:tc>
        <w:tc>
          <w:tcPr>
            <w:tcW w:w="1218" w:type="dxa"/>
            <w:shd w:val="clear" w:color="auto" w:fill="D9D9D9" w:themeFill="background1" w:themeFillShade="D9"/>
            <w:vAlign w:val="center"/>
          </w:tcPr>
          <w:p w:rsidR="00BC6EE8" w:rsidRPr="000F54A2" w:rsidRDefault="00BC6EE8" w:rsidP="00B567C6">
            <w:pPr>
              <w:jc w:val="center"/>
              <w:rPr>
                <w:b/>
                <w:sz w:val="18"/>
                <w:szCs w:val="18"/>
                <w:lang w:bidi="en-US"/>
              </w:rPr>
            </w:pPr>
            <w:r w:rsidRPr="000F54A2">
              <w:rPr>
                <w:b/>
                <w:sz w:val="18"/>
                <w:szCs w:val="18"/>
                <w:lang w:bidi="en-US"/>
              </w:rPr>
              <w:t>PVS</w:t>
            </w:r>
            <w:r w:rsidRPr="003202BE">
              <w:rPr>
                <w:b/>
                <w:color w:val="FF0000"/>
                <w:sz w:val="18"/>
                <w:szCs w:val="18"/>
                <w:lang w:bidi="en-US"/>
              </w:rPr>
              <w:t>*</w:t>
            </w:r>
          </w:p>
        </w:tc>
      </w:tr>
      <w:tr w:rsidR="00BC6EE8" w:rsidRPr="000F54A2" w:rsidTr="00B567C6">
        <w:trPr>
          <w:trHeight w:val="522"/>
        </w:trPr>
        <w:tc>
          <w:tcPr>
            <w:tcW w:w="2552" w:type="dxa"/>
            <w:shd w:val="clear" w:color="auto" w:fill="F2F2F2" w:themeFill="background1" w:themeFillShade="F2"/>
            <w:vAlign w:val="center"/>
          </w:tcPr>
          <w:p w:rsidR="00BC6EE8" w:rsidRPr="000F54A2" w:rsidRDefault="005F7180" w:rsidP="00B567C6">
            <w:pPr>
              <w:rPr>
                <w:b/>
                <w:sz w:val="18"/>
                <w:szCs w:val="18"/>
                <w:lang w:bidi="en-US"/>
              </w:rPr>
            </w:pPr>
            <w:r>
              <w:rPr>
                <w:b/>
                <w:sz w:val="18"/>
                <w:szCs w:val="18"/>
                <w:lang w:bidi="en-US"/>
              </w:rPr>
              <w:t>01</w:t>
            </w:r>
            <w:r w:rsidR="00BC6EE8" w:rsidRPr="000F54A2">
              <w:rPr>
                <w:b/>
                <w:sz w:val="18"/>
                <w:szCs w:val="18"/>
                <w:lang w:bidi="en-US"/>
              </w:rPr>
              <w:t xml:space="preserve"> de Diciembre, 2019 al</w:t>
            </w:r>
          </w:p>
          <w:p w:rsidR="00BC6EE8" w:rsidRPr="000F54A2" w:rsidRDefault="00BC6EE8" w:rsidP="00B567C6">
            <w:pPr>
              <w:rPr>
                <w:b/>
                <w:sz w:val="18"/>
                <w:szCs w:val="18"/>
                <w:lang w:bidi="en-US"/>
              </w:rPr>
            </w:pPr>
            <w:r w:rsidRPr="000F54A2">
              <w:rPr>
                <w:b/>
                <w:sz w:val="18"/>
                <w:szCs w:val="18"/>
                <w:lang w:bidi="en-US"/>
              </w:rPr>
              <w:t xml:space="preserve">30 de </w:t>
            </w:r>
            <w:r w:rsidR="001345ED">
              <w:rPr>
                <w:b/>
                <w:sz w:val="18"/>
                <w:szCs w:val="18"/>
                <w:lang w:bidi="en-US"/>
              </w:rPr>
              <w:t>Abril</w:t>
            </w:r>
            <w:r w:rsidRPr="000F54A2">
              <w:rPr>
                <w:b/>
                <w:sz w:val="18"/>
                <w:szCs w:val="18"/>
                <w:lang w:bidi="en-US"/>
              </w:rPr>
              <w:t>, 2020</w:t>
            </w:r>
            <w:r w:rsidRPr="003202BE">
              <w:rPr>
                <w:b/>
                <w:color w:val="FF0000"/>
                <w:sz w:val="18"/>
                <w:szCs w:val="18"/>
                <w:lang w:bidi="en-US"/>
              </w:rPr>
              <w:t>***</w:t>
            </w:r>
          </w:p>
        </w:tc>
        <w:tc>
          <w:tcPr>
            <w:tcW w:w="1217" w:type="dxa"/>
            <w:shd w:val="clear" w:color="auto" w:fill="F2F2F2" w:themeFill="background1" w:themeFillShade="F2"/>
            <w:vAlign w:val="center"/>
          </w:tcPr>
          <w:p w:rsidR="00BC6EE8" w:rsidRPr="000F54A2" w:rsidRDefault="003202BE" w:rsidP="00B567C6">
            <w:pPr>
              <w:jc w:val="center"/>
              <w:rPr>
                <w:sz w:val="18"/>
                <w:szCs w:val="18"/>
              </w:rPr>
            </w:pPr>
            <w:r>
              <w:rPr>
                <w:sz w:val="18"/>
                <w:szCs w:val="18"/>
              </w:rPr>
              <w:t>$</w:t>
            </w:r>
            <w:r w:rsidR="00450A69">
              <w:rPr>
                <w:sz w:val="18"/>
                <w:szCs w:val="18"/>
              </w:rPr>
              <w:t>992</w:t>
            </w:r>
          </w:p>
        </w:tc>
        <w:tc>
          <w:tcPr>
            <w:tcW w:w="1218" w:type="dxa"/>
            <w:shd w:val="clear" w:color="auto" w:fill="F2F2F2" w:themeFill="background1" w:themeFillShade="F2"/>
            <w:vAlign w:val="center"/>
          </w:tcPr>
          <w:p w:rsidR="00BC6EE8" w:rsidRPr="000F54A2" w:rsidRDefault="003202BE" w:rsidP="00B567C6">
            <w:pPr>
              <w:jc w:val="center"/>
              <w:rPr>
                <w:sz w:val="18"/>
                <w:szCs w:val="18"/>
              </w:rPr>
            </w:pPr>
            <w:r>
              <w:rPr>
                <w:sz w:val="18"/>
                <w:szCs w:val="18"/>
              </w:rPr>
              <w:t>$</w:t>
            </w:r>
            <w:r w:rsidR="00450A69">
              <w:rPr>
                <w:sz w:val="18"/>
                <w:szCs w:val="18"/>
              </w:rPr>
              <w:t>680</w:t>
            </w:r>
          </w:p>
        </w:tc>
        <w:tc>
          <w:tcPr>
            <w:tcW w:w="1218" w:type="dxa"/>
            <w:shd w:val="clear" w:color="auto" w:fill="F2F2F2" w:themeFill="background1" w:themeFillShade="F2"/>
            <w:vAlign w:val="center"/>
          </w:tcPr>
          <w:p w:rsidR="00BC6EE8" w:rsidRPr="000F54A2" w:rsidRDefault="003202BE" w:rsidP="00B567C6">
            <w:pPr>
              <w:jc w:val="center"/>
              <w:rPr>
                <w:sz w:val="18"/>
                <w:szCs w:val="18"/>
              </w:rPr>
            </w:pPr>
            <w:r>
              <w:rPr>
                <w:sz w:val="18"/>
                <w:szCs w:val="18"/>
              </w:rPr>
              <w:t>$</w:t>
            </w:r>
            <w:r w:rsidR="00450A69">
              <w:rPr>
                <w:sz w:val="18"/>
                <w:szCs w:val="18"/>
              </w:rPr>
              <w:t>644</w:t>
            </w:r>
          </w:p>
        </w:tc>
        <w:tc>
          <w:tcPr>
            <w:tcW w:w="1218" w:type="dxa"/>
            <w:shd w:val="clear" w:color="auto" w:fill="F2F2F2" w:themeFill="background1" w:themeFillShade="F2"/>
            <w:vAlign w:val="center"/>
          </w:tcPr>
          <w:p w:rsidR="00BC6EE8" w:rsidRPr="000F54A2" w:rsidRDefault="00450A69" w:rsidP="00B567C6">
            <w:pPr>
              <w:jc w:val="center"/>
              <w:rPr>
                <w:sz w:val="18"/>
                <w:szCs w:val="18"/>
              </w:rPr>
            </w:pPr>
            <w:r>
              <w:rPr>
                <w:sz w:val="18"/>
                <w:szCs w:val="18"/>
              </w:rPr>
              <w:t>$</w:t>
            </w:r>
            <w:r>
              <w:rPr>
                <w:sz w:val="18"/>
                <w:szCs w:val="18"/>
              </w:rPr>
              <w:t>352</w:t>
            </w:r>
          </w:p>
        </w:tc>
        <w:tc>
          <w:tcPr>
            <w:tcW w:w="1218" w:type="dxa"/>
            <w:shd w:val="clear" w:color="auto" w:fill="F2F2F2" w:themeFill="background1" w:themeFillShade="F2"/>
            <w:vAlign w:val="center"/>
          </w:tcPr>
          <w:p w:rsidR="00BC6EE8" w:rsidRPr="000F54A2" w:rsidRDefault="003202BE" w:rsidP="00B567C6">
            <w:pPr>
              <w:jc w:val="center"/>
              <w:rPr>
                <w:sz w:val="18"/>
                <w:szCs w:val="18"/>
              </w:rPr>
            </w:pPr>
            <w:r>
              <w:rPr>
                <w:sz w:val="18"/>
                <w:szCs w:val="18"/>
              </w:rPr>
              <w:t>$</w:t>
            </w:r>
            <w:r w:rsidR="00450A69">
              <w:rPr>
                <w:sz w:val="18"/>
                <w:szCs w:val="18"/>
              </w:rPr>
              <w:t>1,345</w:t>
            </w:r>
          </w:p>
        </w:tc>
      </w:tr>
      <w:tr w:rsidR="00BC6EE8" w:rsidRPr="000F54A2" w:rsidTr="00B567C6">
        <w:trPr>
          <w:trHeight w:val="544"/>
        </w:trPr>
        <w:tc>
          <w:tcPr>
            <w:tcW w:w="2552" w:type="dxa"/>
            <w:shd w:val="clear" w:color="auto" w:fill="D9D9D9" w:themeFill="background1" w:themeFillShade="D9"/>
            <w:vAlign w:val="center"/>
          </w:tcPr>
          <w:p w:rsidR="00BC6EE8" w:rsidRPr="000F54A2" w:rsidRDefault="00BC6EE8" w:rsidP="00B567C6">
            <w:pPr>
              <w:pStyle w:val="Sinespaciado"/>
              <w:jc w:val="both"/>
              <w:rPr>
                <w:rFonts w:ascii="Arial" w:hAnsi="Arial" w:cs="Arial"/>
                <w:b/>
                <w:sz w:val="18"/>
                <w:szCs w:val="18"/>
                <w:lang w:val="es-CR" w:bidi="en-US"/>
              </w:rPr>
            </w:pPr>
            <w:r w:rsidRPr="000F54A2">
              <w:rPr>
                <w:rFonts w:ascii="Arial" w:hAnsi="Arial" w:cs="Arial"/>
                <w:b/>
                <w:sz w:val="18"/>
                <w:szCs w:val="18"/>
                <w:lang w:val="es-CR" w:bidi="en-US"/>
              </w:rPr>
              <w:t xml:space="preserve">01 de </w:t>
            </w:r>
            <w:r w:rsidR="00BC1FE3">
              <w:rPr>
                <w:rFonts w:ascii="Arial" w:hAnsi="Arial" w:cs="Arial"/>
                <w:b/>
                <w:sz w:val="18"/>
                <w:szCs w:val="18"/>
                <w:lang w:val="es-CR" w:bidi="en-US"/>
              </w:rPr>
              <w:t>Mayo</w:t>
            </w:r>
            <w:r w:rsidRPr="000F54A2">
              <w:rPr>
                <w:rFonts w:ascii="Arial" w:hAnsi="Arial" w:cs="Arial"/>
                <w:b/>
                <w:sz w:val="18"/>
                <w:szCs w:val="18"/>
                <w:lang w:val="es-CR" w:bidi="en-US"/>
              </w:rPr>
              <w:t>, 2020 al</w:t>
            </w:r>
          </w:p>
          <w:p w:rsidR="00BC6EE8" w:rsidRPr="000F54A2" w:rsidRDefault="005F7180" w:rsidP="00B567C6">
            <w:pPr>
              <w:rPr>
                <w:b/>
                <w:sz w:val="18"/>
                <w:szCs w:val="18"/>
                <w:lang w:bidi="en-US"/>
              </w:rPr>
            </w:pPr>
            <w:r>
              <w:rPr>
                <w:b/>
                <w:sz w:val="18"/>
                <w:szCs w:val="18"/>
                <w:lang w:bidi="en-US"/>
              </w:rPr>
              <w:t>10</w:t>
            </w:r>
            <w:r w:rsidR="00BC6EE8" w:rsidRPr="000F54A2">
              <w:rPr>
                <w:b/>
                <w:sz w:val="18"/>
                <w:szCs w:val="18"/>
                <w:lang w:bidi="en-US"/>
              </w:rPr>
              <w:t xml:space="preserve"> de </w:t>
            </w:r>
            <w:r>
              <w:rPr>
                <w:b/>
                <w:sz w:val="18"/>
                <w:szCs w:val="18"/>
                <w:lang w:bidi="en-US"/>
              </w:rPr>
              <w:t>Diciembre</w:t>
            </w:r>
            <w:r w:rsidR="00A27167">
              <w:rPr>
                <w:b/>
                <w:sz w:val="18"/>
                <w:szCs w:val="18"/>
                <w:lang w:bidi="en-US"/>
              </w:rPr>
              <w:t xml:space="preserve"> </w:t>
            </w:r>
            <w:r w:rsidR="00BC6EE8" w:rsidRPr="000F54A2">
              <w:rPr>
                <w:b/>
                <w:sz w:val="18"/>
                <w:szCs w:val="18"/>
                <w:lang w:bidi="en-US"/>
              </w:rPr>
              <w:t>2020</w:t>
            </w:r>
          </w:p>
        </w:tc>
        <w:tc>
          <w:tcPr>
            <w:tcW w:w="1217" w:type="dxa"/>
            <w:shd w:val="clear" w:color="auto" w:fill="D9D9D9" w:themeFill="background1" w:themeFillShade="D9"/>
            <w:vAlign w:val="center"/>
          </w:tcPr>
          <w:p w:rsidR="00BC6EE8" w:rsidRPr="000F54A2" w:rsidRDefault="003202BE" w:rsidP="00B567C6">
            <w:pPr>
              <w:jc w:val="center"/>
              <w:rPr>
                <w:sz w:val="18"/>
                <w:szCs w:val="18"/>
              </w:rPr>
            </w:pPr>
            <w:r>
              <w:rPr>
                <w:sz w:val="18"/>
                <w:szCs w:val="18"/>
              </w:rPr>
              <w:t>$</w:t>
            </w:r>
            <w:r w:rsidR="00450A69">
              <w:rPr>
                <w:sz w:val="18"/>
                <w:szCs w:val="18"/>
              </w:rPr>
              <w:t>809</w:t>
            </w:r>
          </w:p>
        </w:tc>
        <w:tc>
          <w:tcPr>
            <w:tcW w:w="1218" w:type="dxa"/>
            <w:shd w:val="clear" w:color="auto" w:fill="D9D9D9" w:themeFill="background1" w:themeFillShade="D9"/>
            <w:vAlign w:val="center"/>
          </w:tcPr>
          <w:p w:rsidR="00BC6EE8" w:rsidRPr="000F54A2" w:rsidRDefault="00450A69" w:rsidP="00B567C6">
            <w:pPr>
              <w:jc w:val="center"/>
              <w:rPr>
                <w:sz w:val="18"/>
                <w:szCs w:val="18"/>
              </w:rPr>
            </w:pPr>
            <w:r>
              <w:rPr>
                <w:sz w:val="18"/>
                <w:szCs w:val="18"/>
              </w:rPr>
              <w:t>$</w:t>
            </w:r>
            <w:r>
              <w:rPr>
                <w:sz w:val="18"/>
                <w:szCs w:val="18"/>
              </w:rPr>
              <w:t>627</w:t>
            </w:r>
          </w:p>
        </w:tc>
        <w:tc>
          <w:tcPr>
            <w:tcW w:w="1218" w:type="dxa"/>
            <w:shd w:val="clear" w:color="auto" w:fill="D9D9D9" w:themeFill="background1" w:themeFillShade="D9"/>
            <w:vAlign w:val="center"/>
          </w:tcPr>
          <w:p w:rsidR="00BC6EE8" w:rsidRPr="000F54A2" w:rsidRDefault="003202BE" w:rsidP="00B567C6">
            <w:pPr>
              <w:jc w:val="center"/>
              <w:rPr>
                <w:sz w:val="18"/>
                <w:szCs w:val="18"/>
              </w:rPr>
            </w:pPr>
            <w:r>
              <w:rPr>
                <w:sz w:val="18"/>
                <w:szCs w:val="18"/>
              </w:rPr>
              <w:t>$</w:t>
            </w:r>
            <w:r w:rsidR="00450A69">
              <w:rPr>
                <w:sz w:val="18"/>
                <w:szCs w:val="18"/>
              </w:rPr>
              <w:t>601</w:t>
            </w:r>
          </w:p>
        </w:tc>
        <w:tc>
          <w:tcPr>
            <w:tcW w:w="1218" w:type="dxa"/>
            <w:shd w:val="clear" w:color="auto" w:fill="D9D9D9" w:themeFill="background1" w:themeFillShade="D9"/>
            <w:vAlign w:val="center"/>
          </w:tcPr>
          <w:p w:rsidR="00BC6EE8" w:rsidRPr="000F54A2" w:rsidRDefault="00450A69" w:rsidP="00B567C6">
            <w:pPr>
              <w:jc w:val="center"/>
              <w:rPr>
                <w:sz w:val="18"/>
                <w:szCs w:val="18"/>
              </w:rPr>
            </w:pPr>
            <w:r>
              <w:rPr>
                <w:sz w:val="18"/>
                <w:szCs w:val="18"/>
              </w:rPr>
              <w:t>$</w:t>
            </w:r>
            <w:r>
              <w:rPr>
                <w:sz w:val="18"/>
                <w:szCs w:val="18"/>
              </w:rPr>
              <w:t>358</w:t>
            </w:r>
          </w:p>
        </w:tc>
        <w:tc>
          <w:tcPr>
            <w:tcW w:w="1218" w:type="dxa"/>
            <w:shd w:val="clear" w:color="auto" w:fill="D9D9D9" w:themeFill="background1" w:themeFillShade="D9"/>
            <w:vAlign w:val="center"/>
          </w:tcPr>
          <w:p w:rsidR="00BC6EE8" w:rsidRPr="000F54A2" w:rsidRDefault="003202BE" w:rsidP="00B567C6">
            <w:pPr>
              <w:jc w:val="center"/>
              <w:rPr>
                <w:sz w:val="18"/>
                <w:szCs w:val="18"/>
              </w:rPr>
            </w:pPr>
            <w:r>
              <w:rPr>
                <w:sz w:val="18"/>
                <w:szCs w:val="18"/>
              </w:rPr>
              <w:t>$</w:t>
            </w:r>
            <w:r w:rsidR="00450A69">
              <w:rPr>
                <w:sz w:val="18"/>
                <w:szCs w:val="18"/>
              </w:rPr>
              <w:t>1,240</w:t>
            </w:r>
          </w:p>
        </w:tc>
      </w:tr>
    </w:tbl>
    <w:p w:rsidR="003202BE" w:rsidRPr="003202BE" w:rsidRDefault="00A27167" w:rsidP="00EA0873">
      <w:pPr>
        <w:spacing w:after="120"/>
        <w:jc w:val="both"/>
        <w:rPr>
          <w:sz w:val="16"/>
          <w:szCs w:val="16"/>
        </w:rPr>
      </w:pPr>
      <w:r>
        <w:rPr>
          <w:color w:val="FF0000"/>
          <w:sz w:val="16"/>
          <w:szCs w:val="16"/>
        </w:rPr>
        <w:t xml:space="preserve"> </w:t>
      </w:r>
      <w:r w:rsidR="003202BE" w:rsidRPr="003202BE">
        <w:rPr>
          <w:color w:val="FF0000"/>
          <w:sz w:val="16"/>
          <w:szCs w:val="16"/>
        </w:rPr>
        <w:t>*</w:t>
      </w:r>
      <w:r w:rsidR="003202BE" w:rsidRPr="003202BE">
        <w:rPr>
          <w:sz w:val="16"/>
          <w:szCs w:val="16"/>
        </w:rPr>
        <w:t>Precio pasajero viajando solo.</w:t>
      </w:r>
    </w:p>
    <w:p w:rsidR="00BC6EE8"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BC6EE8" w:rsidRPr="000F54A2" w:rsidRDefault="00BC6EE8" w:rsidP="00EA0873">
      <w:pPr>
        <w:spacing w:after="120"/>
        <w:jc w:val="both"/>
        <w:rPr>
          <w:bCs/>
          <w:sz w:val="18"/>
          <w:szCs w:val="18"/>
        </w:rPr>
      </w:pP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Superior: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BA07D9" w:rsidRPr="000F54A2" w:rsidTr="00C50DB3">
        <w:trPr>
          <w:trHeight w:val="282"/>
        </w:trPr>
        <w:tc>
          <w:tcPr>
            <w:tcW w:w="2104"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CST</w:t>
            </w:r>
          </w:p>
        </w:tc>
      </w:tr>
      <w:tr w:rsidR="00BA07D9" w:rsidRPr="000F54A2" w:rsidTr="00BA07D9">
        <w:trPr>
          <w:trHeight w:val="282"/>
        </w:trPr>
        <w:tc>
          <w:tcPr>
            <w:tcW w:w="2104" w:type="dxa"/>
            <w:shd w:val="clear" w:color="auto" w:fill="C6D9F1" w:themeFill="text2" w:themeFillTint="33"/>
            <w:vAlign w:val="center"/>
          </w:tcPr>
          <w:p w:rsidR="00BA07D9" w:rsidRPr="000F54A2" w:rsidRDefault="00BA07D9" w:rsidP="00EA0873">
            <w:pPr>
              <w:spacing w:after="120"/>
              <w:jc w:val="both"/>
              <w:rPr>
                <w:sz w:val="18"/>
                <w:szCs w:val="18"/>
              </w:rPr>
            </w:pPr>
            <w:r w:rsidRPr="000F54A2">
              <w:rPr>
                <w:b/>
                <w:sz w:val="18"/>
                <w:szCs w:val="18"/>
              </w:rPr>
              <w:t>San José</w:t>
            </w:r>
          </w:p>
        </w:tc>
        <w:tc>
          <w:tcPr>
            <w:tcW w:w="2340" w:type="dxa"/>
            <w:shd w:val="clear" w:color="auto" w:fill="C6D9F1" w:themeFill="text2" w:themeFillTint="33"/>
          </w:tcPr>
          <w:p w:rsidR="00BA07D9" w:rsidRPr="00F04231" w:rsidRDefault="00BA07D9" w:rsidP="00EA0873">
            <w:pPr>
              <w:spacing w:after="120"/>
              <w:jc w:val="both"/>
              <w:rPr>
                <w:szCs w:val="20"/>
              </w:rPr>
            </w:pPr>
            <w:r w:rsidRPr="00F04231">
              <w:rPr>
                <w:szCs w:val="20"/>
              </w:rPr>
              <w:t>Crowne Plaza Corobicí</w:t>
            </w:r>
          </w:p>
        </w:tc>
        <w:tc>
          <w:tcPr>
            <w:tcW w:w="135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4</w:t>
            </w:r>
            <w:r w:rsidRPr="000F54A2">
              <w:rPr>
                <w:sz w:val="18"/>
                <w:szCs w:val="18"/>
              </w:rPr>
              <w:t xml:space="preserve"> estrellas</w:t>
            </w:r>
          </w:p>
        </w:tc>
        <w:tc>
          <w:tcPr>
            <w:tcW w:w="216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De Lujo</w:t>
            </w:r>
          </w:p>
        </w:tc>
        <w:tc>
          <w:tcPr>
            <w:tcW w:w="72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2BEADCF9" wp14:editId="6C2C1445">
                  <wp:extent cx="114300" cy="1238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bl>
    <w:p w:rsidR="00BC6EE8" w:rsidRDefault="00BC6EE8" w:rsidP="00EA0873">
      <w:pPr>
        <w:spacing w:after="120"/>
        <w:rPr>
          <w:b/>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217"/>
        <w:gridCol w:w="1218"/>
        <w:gridCol w:w="1218"/>
        <w:gridCol w:w="1218"/>
        <w:gridCol w:w="1218"/>
      </w:tblGrid>
      <w:tr w:rsidR="00AC31CC" w:rsidRPr="000F54A2" w:rsidTr="00AC3E22">
        <w:tc>
          <w:tcPr>
            <w:tcW w:w="2552" w:type="dxa"/>
            <w:vMerge w:val="restart"/>
            <w:shd w:val="clear" w:color="auto" w:fill="D9D9D9" w:themeFill="background1" w:themeFillShade="D9"/>
            <w:vAlign w:val="center"/>
          </w:tcPr>
          <w:p w:rsidR="00AC31CC" w:rsidRPr="000F54A2" w:rsidRDefault="00AC31CC" w:rsidP="00EA0873">
            <w:pPr>
              <w:pStyle w:val="Sinespaciado"/>
              <w:spacing w:after="120"/>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6089" w:type="dxa"/>
            <w:gridSpan w:val="5"/>
            <w:shd w:val="clear" w:color="auto" w:fill="D9D9D9" w:themeFill="background1" w:themeFillShade="D9"/>
            <w:vAlign w:val="center"/>
          </w:tcPr>
          <w:p w:rsidR="00AC31CC" w:rsidRPr="000F54A2" w:rsidRDefault="003202BE" w:rsidP="00EA0873">
            <w:pPr>
              <w:pStyle w:val="Sinespaciado"/>
              <w:spacing w:after="120"/>
              <w:jc w:val="center"/>
              <w:rPr>
                <w:rFonts w:ascii="Arial" w:hAnsi="Arial" w:cs="Arial"/>
                <w:b/>
                <w:sz w:val="18"/>
                <w:szCs w:val="18"/>
                <w:lang w:val="es-CR" w:bidi="en-US"/>
              </w:rPr>
            </w:pPr>
            <w:r>
              <w:rPr>
                <w:rFonts w:ascii="Arial" w:hAnsi="Arial" w:cs="Arial"/>
                <w:b/>
                <w:sz w:val="18"/>
                <w:szCs w:val="18"/>
                <w:lang w:val="es-CR" w:bidi="en-US"/>
              </w:rPr>
              <w:t>OCUPACIÓN</w:t>
            </w:r>
          </w:p>
        </w:tc>
      </w:tr>
      <w:tr w:rsidR="00AC31CC" w:rsidRPr="000F54A2" w:rsidTr="00AC3E22">
        <w:tc>
          <w:tcPr>
            <w:tcW w:w="2552" w:type="dxa"/>
            <w:vMerge/>
            <w:shd w:val="clear" w:color="auto" w:fill="D9D9D9" w:themeFill="background1" w:themeFillShade="D9"/>
          </w:tcPr>
          <w:p w:rsidR="00AC31CC" w:rsidRPr="000F54A2" w:rsidRDefault="00AC31CC" w:rsidP="00EA0873">
            <w:pPr>
              <w:pStyle w:val="Sinespaciado"/>
              <w:spacing w:after="120"/>
              <w:jc w:val="both"/>
              <w:rPr>
                <w:rFonts w:ascii="Arial" w:hAnsi="Arial" w:cs="Arial"/>
                <w:b/>
                <w:sz w:val="18"/>
                <w:szCs w:val="18"/>
                <w:lang w:val="es-CR" w:bidi="en-US"/>
              </w:rPr>
            </w:pPr>
          </w:p>
        </w:tc>
        <w:tc>
          <w:tcPr>
            <w:tcW w:w="1217" w:type="dxa"/>
            <w:shd w:val="clear" w:color="auto" w:fill="D9D9D9" w:themeFill="background1" w:themeFillShade="D9"/>
            <w:vAlign w:val="center"/>
          </w:tcPr>
          <w:p w:rsidR="00AC31CC" w:rsidRPr="000F54A2" w:rsidRDefault="00AC31CC" w:rsidP="00EA0873">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SENCILLA</w:t>
            </w:r>
          </w:p>
        </w:tc>
        <w:tc>
          <w:tcPr>
            <w:tcW w:w="1218" w:type="dxa"/>
            <w:shd w:val="clear" w:color="auto" w:fill="D9D9D9" w:themeFill="background1" w:themeFillShade="D9"/>
            <w:vAlign w:val="center"/>
          </w:tcPr>
          <w:p w:rsidR="00AC31CC" w:rsidRPr="000F54A2" w:rsidRDefault="00AC31CC" w:rsidP="00EA0873">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DOBLE</w:t>
            </w:r>
          </w:p>
        </w:tc>
        <w:tc>
          <w:tcPr>
            <w:tcW w:w="1218" w:type="dxa"/>
            <w:shd w:val="clear" w:color="auto" w:fill="D9D9D9" w:themeFill="background1" w:themeFillShade="D9"/>
            <w:vAlign w:val="center"/>
          </w:tcPr>
          <w:p w:rsidR="00AC31CC" w:rsidRPr="000F54A2" w:rsidRDefault="00AC31CC" w:rsidP="00EA0873">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TRIPLE</w:t>
            </w:r>
          </w:p>
        </w:tc>
        <w:tc>
          <w:tcPr>
            <w:tcW w:w="1218" w:type="dxa"/>
            <w:shd w:val="clear" w:color="auto" w:fill="D9D9D9" w:themeFill="background1" w:themeFillShade="D9"/>
            <w:vAlign w:val="center"/>
          </w:tcPr>
          <w:p w:rsidR="00AC31CC" w:rsidRPr="000F54A2" w:rsidRDefault="00AC31CC" w:rsidP="00EA0873">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NIÑO</w:t>
            </w:r>
            <w:r w:rsidRPr="003202BE">
              <w:rPr>
                <w:rFonts w:ascii="Arial" w:hAnsi="Arial" w:cs="Arial"/>
                <w:b/>
                <w:color w:val="FF0000"/>
                <w:sz w:val="18"/>
                <w:szCs w:val="18"/>
                <w:lang w:val="es-CR" w:bidi="en-US"/>
              </w:rPr>
              <w:t>**</w:t>
            </w:r>
          </w:p>
        </w:tc>
        <w:tc>
          <w:tcPr>
            <w:tcW w:w="1218" w:type="dxa"/>
            <w:shd w:val="clear" w:color="auto" w:fill="D9D9D9" w:themeFill="background1" w:themeFillShade="D9"/>
            <w:vAlign w:val="center"/>
          </w:tcPr>
          <w:p w:rsidR="00AC31CC" w:rsidRPr="000F54A2" w:rsidRDefault="00AC31CC" w:rsidP="00EA0873">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PVS</w:t>
            </w:r>
            <w:r w:rsidRPr="003202BE">
              <w:rPr>
                <w:rFonts w:ascii="Arial" w:hAnsi="Arial" w:cs="Arial"/>
                <w:b/>
                <w:color w:val="FF0000"/>
                <w:sz w:val="18"/>
                <w:szCs w:val="18"/>
                <w:lang w:val="es-CR" w:bidi="en-US"/>
              </w:rPr>
              <w:t>*</w:t>
            </w:r>
          </w:p>
        </w:tc>
      </w:tr>
      <w:tr w:rsidR="00AC31CC" w:rsidRPr="000F54A2" w:rsidTr="00AC3E22">
        <w:trPr>
          <w:trHeight w:val="672"/>
        </w:trPr>
        <w:tc>
          <w:tcPr>
            <w:tcW w:w="2552" w:type="dxa"/>
            <w:shd w:val="clear" w:color="auto" w:fill="F2F2F2" w:themeFill="background1" w:themeFillShade="F2"/>
            <w:vAlign w:val="center"/>
          </w:tcPr>
          <w:p w:rsidR="00AC31CC" w:rsidRPr="000F54A2" w:rsidRDefault="005F7180" w:rsidP="00EA0873">
            <w:pPr>
              <w:pStyle w:val="Sinespaciado"/>
              <w:spacing w:after="120"/>
              <w:jc w:val="both"/>
              <w:rPr>
                <w:rFonts w:ascii="Arial" w:hAnsi="Arial" w:cs="Arial"/>
                <w:b/>
                <w:sz w:val="18"/>
                <w:szCs w:val="18"/>
                <w:lang w:val="es-CR" w:bidi="en-US"/>
              </w:rPr>
            </w:pPr>
            <w:r>
              <w:rPr>
                <w:rFonts w:ascii="Arial" w:hAnsi="Arial" w:cs="Arial"/>
                <w:b/>
                <w:sz w:val="18"/>
                <w:szCs w:val="18"/>
                <w:lang w:val="es-CR" w:bidi="en-US"/>
              </w:rPr>
              <w:t>01</w:t>
            </w:r>
            <w:r w:rsidR="00AC31CC" w:rsidRPr="000F54A2">
              <w:rPr>
                <w:rFonts w:ascii="Arial" w:hAnsi="Arial" w:cs="Arial"/>
                <w:b/>
                <w:sz w:val="18"/>
                <w:szCs w:val="18"/>
                <w:lang w:val="es-CR" w:bidi="en-US"/>
              </w:rPr>
              <w:t xml:space="preserve"> de Diciembre 2019 al</w:t>
            </w:r>
          </w:p>
          <w:p w:rsidR="00AC31CC" w:rsidRPr="000F54A2" w:rsidRDefault="00AC31CC" w:rsidP="005F7180">
            <w:pPr>
              <w:pStyle w:val="Sinespaciado"/>
              <w:spacing w:after="120"/>
              <w:jc w:val="both"/>
              <w:rPr>
                <w:rFonts w:ascii="Arial" w:hAnsi="Arial" w:cs="Arial"/>
                <w:b/>
                <w:sz w:val="18"/>
                <w:szCs w:val="18"/>
                <w:lang w:val="es-CR" w:bidi="en-US"/>
              </w:rPr>
            </w:pPr>
            <w:r w:rsidRPr="000F54A2">
              <w:rPr>
                <w:rFonts w:ascii="Arial" w:hAnsi="Arial" w:cs="Arial"/>
                <w:b/>
                <w:sz w:val="18"/>
                <w:szCs w:val="18"/>
                <w:lang w:val="es-CR" w:bidi="en-US"/>
              </w:rPr>
              <w:t xml:space="preserve">30 de </w:t>
            </w:r>
            <w:r w:rsidR="005F7180">
              <w:rPr>
                <w:rFonts w:ascii="Arial" w:hAnsi="Arial" w:cs="Arial"/>
                <w:b/>
                <w:sz w:val="18"/>
                <w:szCs w:val="18"/>
                <w:lang w:val="es-CR" w:bidi="en-US"/>
              </w:rPr>
              <w:t>Noviembre</w:t>
            </w:r>
            <w:r w:rsidRPr="000F54A2">
              <w:rPr>
                <w:rFonts w:ascii="Arial" w:hAnsi="Arial" w:cs="Arial"/>
                <w:b/>
                <w:sz w:val="18"/>
                <w:szCs w:val="18"/>
                <w:lang w:val="es-CR" w:bidi="en-US"/>
              </w:rPr>
              <w:t>, 2020</w:t>
            </w:r>
            <w:r w:rsidRPr="003202BE">
              <w:rPr>
                <w:rFonts w:ascii="Arial" w:hAnsi="Arial" w:cs="Arial"/>
                <w:b/>
                <w:color w:val="FF0000"/>
                <w:sz w:val="18"/>
                <w:szCs w:val="18"/>
                <w:lang w:val="es-CR" w:bidi="en-US"/>
              </w:rPr>
              <w:t>***</w:t>
            </w:r>
          </w:p>
        </w:tc>
        <w:tc>
          <w:tcPr>
            <w:tcW w:w="1217" w:type="dxa"/>
            <w:shd w:val="clear" w:color="auto" w:fill="F2F2F2" w:themeFill="background1" w:themeFillShade="F2"/>
            <w:vAlign w:val="center"/>
          </w:tcPr>
          <w:p w:rsidR="00AC31CC" w:rsidRPr="000F54A2" w:rsidRDefault="003202BE" w:rsidP="00450A69">
            <w:pPr>
              <w:spacing w:after="120"/>
              <w:jc w:val="center"/>
              <w:rPr>
                <w:sz w:val="18"/>
                <w:szCs w:val="18"/>
              </w:rPr>
            </w:pPr>
            <w:r>
              <w:rPr>
                <w:sz w:val="18"/>
                <w:szCs w:val="18"/>
              </w:rPr>
              <w:t>$</w:t>
            </w:r>
            <w:r w:rsidR="00450A69">
              <w:rPr>
                <w:sz w:val="18"/>
                <w:szCs w:val="18"/>
              </w:rPr>
              <w:t>1,260</w:t>
            </w:r>
          </w:p>
        </w:tc>
        <w:tc>
          <w:tcPr>
            <w:tcW w:w="1218" w:type="dxa"/>
            <w:shd w:val="clear" w:color="auto" w:fill="F2F2F2" w:themeFill="background1" w:themeFillShade="F2"/>
            <w:vAlign w:val="center"/>
          </w:tcPr>
          <w:p w:rsidR="00AC31CC" w:rsidRPr="000F54A2" w:rsidRDefault="003202BE" w:rsidP="00450A69">
            <w:pPr>
              <w:spacing w:after="120"/>
              <w:jc w:val="center"/>
              <w:rPr>
                <w:sz w:val="18"/>
                <w:szCs w:val="18"/>
              </w:rPr>
            </w:pPr>
            <w:r>
              <w:rPr>
                <w:sz w:val="18"/>
                <w:szCs w:val="18"/>
              </w:rPr>
              <w:t>$</w:t>
            </w:r>
            <w:r w:rsidR="00450A69">
              <w:rPr>
                <w:sz w:val="18"/>
                <w:szCs w:val="18"/>
              </w:rPr>
              <w:t>849</w:t>
            </w:r>
          </w:p>
        </w:tc>
        <w:tc>
          <w:tcPr>
            <w:tcW w:w="1218" w:type="dxa"/>
            <w:shd w:val="clear" w:color="auto" w:fill="F2F2F2" w:themeFill="background1" w:themeFillShade="F2"/>
            <w:vAlign w:val="center"/>
          </w:tcPr>
          <w:p w:rsidR="00AC31CC" w:rsidRPr="000F54A2" w:rsidRDefault="003202BE" w:rsidP="00450A69">
            <w:pPr>
              <w:spacing w:after="120"/>
              <w:jc w:val="center"/>
              <w:rPr>
                <w:sz w:val="18"/>
                <w:szCs w:val="18"/>
              </w:rPr>
            </w:pPr>
            <w:r>
              <w:rPr>
                <w:sz w:val="18"/>
                <w:szCs w:val="18"/>
              </w:rPr>
              <w:t>$</w:t>
            </w:r>
            <w:r w:rsidR="00450A69">
              <w:rPr>
                <w:sz w:val="18"/>
                <w:szCs w:val="18"/>
              </w:rPr>
              <w:t>777</w:t>
            </w:r>
          </w:p>
        </w:tc>
        <w:tc>
          <w:tcPr>
            <w:tcW w:w="1218" w:type="dxa"/>
            <w:shd w:val="clear" w:color="auto" w:fill="F2F2F2" w:themeFill="background1" w:themeFillShade="F2"/>
            <w:vAlign w:val="center"/>
          </w:tcPr>
          <w:p w:rsidR="00AC31CC" w:rsidRPr="000F54A2" w:rsidRDefault="003202BE" w:rsidP="00450A69">
            <w:pPr>
              <w:spacing w:after="120"/>
              <w:jc w:val="center"/>
              <w:rPr>
                <w:sz w:val="18"/>
                <w:szCs w:val="18"/>
              </w:rPr>
            </w:pPr>
            <w:r>
              <w:rPr>
                <w:sz w:val="18"/>
                <w:szCs w:val="18"/>
              </w:rPr>
              <w:t>$</w:t>
            </w:r>
            <w:r w:rsidR="00450A69">
              <w:rPr>
                <w:sz w:val="18"/>
                <w:szCs w:val="18"/>
              </w:rPr>
              <w:t>352</w:t>
            </w:r>
          </w:p>
        </w:tc>
        <w:tc>
          <w:tcPr>
            <w:tcW w:w="1218" w:type="dxa"/>
            <w:shd w:val="clear" w:color="auto" w:fill="F2F2F2" w:themeFill="background1" w:themeFillShade="F2"/>
            <w:vAlign w:val="center"/>
          </w:tcPr>
          <w:p w:rsidR="00AC31CC" w:rsidRPr="000F54A2" w:rsidRDefault="003202BE" w:rsidP="00450A69">
            <w:pPr>
              <w:spacing w:after="120"/>
              <w:jc w:val="center"/>
              <w:rPr>
                <w:sz w:val="18"/>
                <w:szCs w:val="18"/>
              </w:rPr>
            </w:pPr>
            <w:r>
              <w:rPr>
                <w:sz w:val="18"/>
                <w:szCs w:val="18"/>
              </w:rPr>
              <w:t>$</w:t>
            </w:r>
            <w:r w:rsidR="00450A69">
              <w:rPr>
                <w:sz w:val="18"/>
                <w:szCs w:val="18"/>
              </w:rPr>
              <w:t>1,683</w:t>
            </w:r>
          </w:p>
        </w:tc>
      </w:tr>
    </w:tbl>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Precio pasajero viajando solo.</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EA0873" w:rsidRDefault="00EA0873" w:rsidP="00EA0873">
      <w:pPr>
        <w:spacing w:after="120"/>
        <w:jc w:val="both"/>
        <w:rPr>
          <w:b/>
          <w:sz w:val="18"/>
          <w:szCs w:val="18"/>
        </w:rPr>
      </w:pPr>
    </w:p>
    <w:p w:rsidR="005F7180" w:rsidRPr="000F54A2" w:rsidRDefault="005F7180" w:rsidP="005F7180">
      <w:pPr>
        <w:pStyle w:val="Sinespaciado"/>
        <w:spacing w:after="120"/>
        <w:jc w:val="both"/>
        <w:rPr>
          <w:rFonts w:ascii="Arial" w:hAnsi="Arial" w:cs="Arial"/>
          <w:b/>
          <w:sz w:val="18"/>
          <w:szCs w:val="18"/>
          <w:lang w:val="es-CR"/>
        </w:rPr>
      </w:pPr>
      <w:r w:rsidRPr="000F54A2">
        <w:rPr>
          <w:rFonts w:ascii="Arial" w:hAnsi="Arial" w:cs="Arial"/>
          <w:b/>
          <w:sz w:val="18"/>
          <w:szCs w:val="18"/>
          <w:lang w:val="es-CR"/>
        </w:rPr>
        <w:t xml:space="preserve">Categoría </w:t>
      </w:r>
      <w:r w:rsidR="00450A69">
        <w:rPr>
          <w:rFonts w:ascii="Arial" w:hAnsi="Arial" w:cs="Arial"/>
          <w:b/>
          <w:sz w:val="18"/>
          <w:szCs w:val="18"/>
          <w:lang w:val="es-CR"/>
        </w:rPr>
        <w:t>De Lujo</w:t>
      </w:r>
      <w:r w:rsidRPr="000F54A2">
        <w:rPr>
          <w:rFonts w:ascii="Arial" w:hAnsi="Arial" w:cs="Arial"/>
          <w:b/>
          <w:sz w:val="18"/>
          <w:szCs w:val="18"/>
          <w:lang w:val="es-CR"/>
        </w:rPr>
        <w:t>:</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95"/>
        <w:gridCol w:w="3149"/>
        <w:gridCol w:w="1350"/>
        <w:gridCol w:w="2160"/>
        <w:gridCol w:w="720"/>
      </w:tblGrid>
      <w:tr w:rsidR="005F7180" w:rsidRPr="000F54A2" w:rsidTr="00450A69">
        <w:trPr>
          <w:trHeight w:val="282"/>
        </w:trPr>
        <w:tc>
          <w:tcPr>
            <w:tcW w:w="1295" w:type="dxa"/>
            <w:shd w:val="clear" w:color="auto" w:fill="548DD4" w:themeFill="text2" w:themeFillTint="99"/>
            <w:vAlign w:val="center"/>
          </w:tcPr>
          <w:p w:rsidR="005F7180" w:rsidRPr="000F54A2" w:rsidRDefault="005F7180" w:rsidP="0028440B">
            <w:pPr>
              <w:spacing w:after="120"/>
              <w:jc w:val="both"/>
              <w:rPr>
                <w:color w:val="FFFFFF" w:themeColor="background1"/>
                <w:sz w:val="18"/>
                <w:szCs w:val="18"/>
              </w:rPr>
            </w:pPr>
            <w:r w:rsidRPr="000F54A2">
              <w:rPr>
                <w:b/>
                <w:bCs/>
                <w:color w:val="FFFFFF" w:themeColor="background1"/>
                <w:sz w:val="18"/>
                <w:szCs w:val="18"/>
              </w:rPr>
              <w:t>Ubicación</w:t>
            </w:r>
          </w:p>
        </w:tc>
        <w:tc>
          <w:tcPr>
            <w:tcW w:w="3149" w:type="dxa"/>
            <w:shd w:val="clear" w:color="auto" w:fill="548DD4" w:themeFill="text2" w:themeFillTint="99"/>
            <w:vAlign w:val="center"/>
          </w:tcPr>
          <w:p w:rsidR="005F7180" w:rsidRPr="000F54A2" w:rsidRDefault="005F7180" w:rsidP="0028440B">
            <w:pPr>
              <w:spacing w:after="120"/>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5F7180" w:rsidRPr="000F54A2" w:rsidRDefault="005F7180" w:rsidP="0028440B">
            <w:pPr>
              <w:spacing w:after="120"/>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5F7180" w:rsidRPr="000F54A2" w:rsidRDefault="005F7180" w:rsidP="0028440B">
            <w:pPr>
              <w:spacing w:after="120"/>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5F7180" w:rsidRPr="000F54A2" w:rsidRDefault="005F7180" w:rsidP="0028440B">
            <w:pPr>
              <w:spacing w:after="120"/>
              <w:jc w:val="both"/>
              <w:rPr>
                <w:color w:val="FFFFFF" w:themeColor="background1"/>
                <w:sz w:val="18"/>
                <w:szCs w:val="18"/>
              </w:rPr>
            </w:pPr>
            <w:r w:rsidRPr="000F54A2">
              <w:rPr>
                <w:b/>
                <w:bCs/>
                <w:color w:val="FFFFFF" w:themeColor="background1"/>
                <w:sz w:val="18"/>
                <w:szCs w:val="18"/>
              </w:rPr>
              <w:t>CST</w:t>
            </w:r>
          </w:p>
        </w:tc>
      </w:tr>
      <w:tr w:rsidR="005F7180" w:rsidRPr="000F54A2" w:rsidTr="00450A69">
        <w:trPr>
          <w:trHeight w:val="282"/>
        </w:trPr>
        <w:tc>
          <w:tcPr>
            <w:tcW w:w="1295" w:type="dxa"/>
            <w:shd w:val="clear" w:color="auto" w:fill="C6D9F1" w:themeFill="text2" w:themeFillTint="33"/>
            <w:vAlign w:val="center"/>
          </w:tcPr>
          <w:p w:rsidR="005F7180" w:rsidRPr="000F54A2" w:rsidRDefault="005F7180" w:rsidP="0028440B">
            <w:pPr>
              <w:spacing w:after="120"/>
              <w:jc w:val="both"/>
              <w:rPr>
                <w:sz w:val="18"/>
                <w:szCs w:val="18"/>
              </w:rPr>
            </w:pPr>
            <w:r w:rsidRPr="000F54A2">
              <w:rPr>
                <w:b/>
                <w:sz w:val="18"/>
                <w:szCs w:val="18"/>
              </w:rPr>
              <w:t>San José</w:t>
            </w:r>
          </w:p>
        </w:tc>
        <w:tc>
          <w:tcPr>
            <w:tcW w:w="3149" w:type="dxa"/>
            <w:shd w:val="clear" w:color="auto" w:fill="C6D9F1" w:themeFill="text2" w:themeFillTint="33"/>
          </w:tcPr>
          <w:p w:rsidR="005F7180" w:rsidRPr="00F04231" w:rsidRDefault="00450A69" w:rsidP="0028440B">
            <w:pPr>
              <w:spacing w:after="120"/>
              <w:jc w:val="both"/>
              <w:rPr>
                <w:szCs w:val="20"/>
              </w:rPr>
            </w:pPr>
            <w:r w:rsidRPr="00450A69">
              <w:rPr>
                <w:szCs w:val="20"/>
              </w:rPr>
              <w:t>Real InterContinental San José</w:t>
            </w:r>
          </w:p>
        </w:tc>
        <w:tc>
          <w:tcPr>
            <w:tcW w:w="1350" w:type="dxa"/>
            <w:shd w:val="clear" w:color="auto" w:fill="C6D9F1" w:themeFill="text2" w:themeFillTint="33"/>
            <w:vAlign w:val="center"/>
          </w:tcPr>
          <w:p w:rsidR="005F7180" w:rsidRPr="000F54A2" w:rsidRDefault="00450A69" w:rsidP="0028440B">
            <w:pPr>
              <w:spacing w:after="120"/>
              <w:jc w:val="center"/>
              <w:rPr>
                <w:sz w:val="18"/>
                <w:szCs w:val="18"/>
              </w:rPr>
            </w:pPr>
            <w:r>
              <w:rPr>
                <w:sz w:val="18"/>
                <w:szCs w:val="18"/>
              </w:rPr>
              <w:t>5</w:t>
            </w:r>
            <w:r w:rsidR="005F7180" w:rsidRPr="000F54A2">
              <w:rPr>
                <w:sz w:val="18"/>
                <w:szCs w:val="18"/>
              </w:rPr>
              <w:t xml:space="preserve"> estrellas</w:t>
            </w:r>
          </w:p>
        </w:tc>
        <w:tc>
          <w:tcPr>
            <w:tcW w:w="2160" w:type="dxa"/>
            <w:shd w:val="clear" w:color="auto" w:fill="C6D9F1" w:themeFill="text2" w:themeFillTint="33"/>
            <w:vAlign w:val="center"/>
          </w:tcPr>
          <w:p w:rsidR="005F7180" w:rsidRPr="000F54A2" w:rsidRDefault="005F7180" w:rsidP="0028440B">
            <w:pPr>
              <w:spacing w:after="120"/>
              <w:jc w:val="center"/>
              <w:rPr>
                <w:sz w:val="18"/>
                <w:szCs w:val="18"/>
              </w:rPr>
            </w:pPr>
            <w:r>
              <w:rPr>
                <w:sz w:val="18"/>
                <w:szCs w:val="18"/>
              </w:rPr>
              <w:t>De Lujo</w:t>
            </w:r>
          </w:p>
        </w:tc>
        <w:tc>
          <w:tcPr>
            <w:tcW w:w="720" w:type="dxa"/>
            <w:shd w:val="clear" w:color="auto" w:fill="C6D9F1" w:themeFill="text2" w:themeFillTint="33"/>
            <w:vAlign w:val="center"/>
          </w:tcPr>
          <w:p w:rsidR="005F7180" w:rsidRPr="000F54A2" w:rsidRDefault="005F7180" w:rsidP="0028440B">
            <w:pPr>
              <w:spacing w:after="120"/>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1736B094" wp14:editId="2820CDF2">
                  <wp:extent cx="114300" cy="123825"/>
                  <wp:effectExtent l="0" t="0" r="0" b="9525"/>
                  <wp:docPr id="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bl>
    <w:p w:rsidR="005F7180" w:rsidRDefault="005F7180" w:rsidP="005F7180">
      <w:pPr>
        <w:spacing w:after="120"/>
        <w:rPr>
          <w:b/>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217"/>
        <w:gridCol w:w="1218"/>
        <w:gridCol w:w="1218"/>
        <w:gridCol w:w="1218"/>
        <w:gridCol w:w="1218"/>
      </w:tblGrid>
      <w:tr w:rsidR="005F7180" w:rsidRPr="000F54A2" w:rsidTr="0028440B">
        <w:tc>
          <w:tcPr>
            <w:tcW w:w="2552" w:type="dxa"/>
            <w:vMerge w:val="restart"/>
            <w:shd w:val="clear" w:color="auto" w:fill="D9D9D9" w:themeFill="background1" w:themeFillShade="D9"/>
            <w:vAlign w:val="center"/>
          </w:tcPr>
          <w:p w:rsidR="005F7180" w:rsidRPr="000F54A2" w:rsidRDefault="005F7180" w:rsidP="0028440B">
            <w:pPr>
              <w:pStyle w:val="Sinespaciado"/>
              <w:spacing w:after="120"/>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6089" w:type="dxa"/>
            <w:gridSpan w:val="5"/>
            <w:shd w:val="clear" w:color="auto" w:fill="D9D9D9" w:themeFill="background1" w:themeFillShade="D9"/>
            <w:vAlign w:val="center"/>
          </w:tcPr>
          <w:p w:rsidR="005F7180" w:rsidRPr="000F54A2" w:rsidRDefault="005F7180" w:rsidP="00B567C6">
            <w:pPr>
              <w:pStyle w:val="Sinespaciado"/>
              <w:jc w:val="center"/>
              <w:rPr>
                <w:rFonts w:ascii="Arial" w:hAnsi="Arial" w:cs="Arial"/>
                <w:b/>
                <w:sz w:val="18"/>
                <w:szCs w:val="18"/>
                <w:lang w:val="es-CR" w:bidi="en-US"/>
              </w:rPr>
            </w:pPr>
            <w:r>
              <w:rPr>
                <w:rFonts w:ascii="Arial" w:hAnsi="Arial" w:cs="Arial"/>
                <w:b/>
                <w:sz w:val="18"/>
                <w:szCs w:val="18"/>
                <w:lang w:val="es-CR" w:bidi="en-US"/>
              </w:rPr>
              <w:t>OCUPACIÓN</w:t>
            </w:r>
          </w:p>
        </w:tc>
      </w:tr>
      <w:tr w:rsidR="005F7180" w:rsidRPr="000F54A2" w:rsidTr="0028440B">
        <w:tc>
          <w:tcPr>
            <w:tcW w:w="2552" w:type="dxa"/>
            <w:vMerge/>
            <w:shd w:val="clear" w:color="auto" w:fill="D9D9D9" w:themeFill="background1" w:themeFillShade="D9"/>
          </w:tcPr>
          <w:p w:rsidR="005F7180" w:rsidRPr="000F54A2" w:rsidRDefault="005F7180" w:rsidP="0028440B">
            <w:pPr>
              <w:pStyle w:val="Sinespaciado"/>
              <w:spacing w:after="120"/>
              <w:jc w:val="both"/>
              <w:rPr>
                <w:rFonts w:ascii="Arial" w:hAnsi="Arial" w:cs="Arial"/>
                <w:b/>
                <w:sz w:val="18"/>
                <w:szCs w:val="18"/>
                <w:lang w:val="es-CR" w:bidi="en-US"/>
              </w:rPr>
            </w:pPr>
          </w:p>
        </w:tc>
        <w:tc>
          <w:tcPr>
            <w:tcW w:w="1217" w:type="dxa"/>
            <w:shd w:val="clear" w:color="auto" w:fill="D9D9D9" w:themeFill="background1" w:themeFillShade="D9"/>
            <w:vAlign w:val="center"/>
          </w:tcPr>
          <w:p w:rsidR="005F7180" w:rsidRPr="000F54A2" w:rsidRDefault="005F7180" w:rsidP="0028440B">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SENCILLA</w:t>
            </w:r>
          </w:p>
        </w:tc>
        <w:tc>
          <w:tcPr>
            <w:tcW w:w="1218" w:type="dxa"/>
            <w:shd w:val="clear" w:color="auto" w:fill="D9D9D9" w:themeFill="background1" w:themeFillShade="D9"/>
            <w:vAlign w:val="center"/>
          </w:tcPr>
          <w:p w:rsidR="005F7180" w:rsidRPr="000F54A2" w:rsidRDefault="005F7180" w:rsidP="0028440B">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DOBLE</w:t>
            </w:r>
          </w:p>
        </w:tc>
        <w:tc>
          <w:tcPr>
            <w:tcW w:w="1218" w:type="dxa"/>
            <w:shd w:val="clear" w:color="auto" w:fill="D9D9D9" w:themeFill="background1" w:themeFillShade="D9"/>
            <w:vAlign w:val="center"/>
          </w:tcPr>
          <w:p w:rsidR="005F7180" w:rsidRPr="000F54A2" w:rsidRDefault="005F7180" w:rsidP="0028440B">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TRIPLE</w:t>
            </w:r>
          </w:p>
        </w:tc>
        <w:tc>
          <w:tcPr>
            <w:tcW w:w="1218" w:type="dxa"/>
            <w:shd w:val="clear" w:color="auto" w:fill="D9D9D9" w:themeFill="background1" w:themeFillShade="D9"/>
            <w:vAlign w:val="center"/>
          </w:tcPr>
          <w:p w:rsidR="005F7180" w:rsidRPr="000F54A2" w:rsidRDefault="005F7180" w:rsidP="0028440B">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NIÑO</w:t>
            </w:r>
            <w:r w:rsidRPr="003202BE">
              <w:rPr>
                <w:rFonts w:ascii="Arial" w:hAnsi="Arial" w:cs="Arial"/>
                <w:b/>
                <w:color w:val="FF0000"/>
                <w:sz w:val="18"/>
                <w:szCs w:val="18"/>
                <w:lang w:val="es-CR" w:bidi="en-US"/>
              </w:rPr>
              <w:t>**</w:t>
            </w:r>
          </w:p>
        </w:tc>
        <w:tc>
          <w:tcPr>
            <w:tcW w:w="1218" w:type="dxa"/>
            <w:shd w:val="clear" w:color="auto" w:fill="D9D9D9" w:themeFill="background1" w:themeFillShade="D9"/>
            <w:vAlign w:val="center"/>
          </w:tcPr>
          <w:p w:rsidR="005F7180" w:rsidRPr="000F54A2" w:rsidRDefault="005F7180" w:rsidP="0028440B">
            <w:pPr>
              <w:pStyle w:val="Sinespaciado"/>
              <w:spacing w:after="120"/>
              <w:jc w:val="center"/>
              <w:rPr>
                <w:rFonts w:ascii="Arial" w:hAnsi="Arial" w:cs="Arial"/>
                <w:b/>
                <w:sz w:val="18"/>
                <w:szCs w:val="18"/>
                <w:lang w:val="es-CR" w:bidi="en-US"/>
              </w:rPr>
            </w:pPr>
            <w:r w:rsidRPr="000F54A2">
              <w:rPr>
                <w:rFonts w:ascii="Arial" w:hAnsi="Arial" w:cs="Arial"/>
                <w:b/>
                <w:sz w:val="18"/>
                <w:szCs w:val="18"/>
                <w:lang w:val="es-CR" w:bidi="en-US"/>
              </w:rPr>
              <w:t>PVS</w:t>
            </w:r>
            <w:r w:rsidRPr="003202BE">
              <w:rPr>
                <w:rFonts w:ascii="Arial" w:hAnsi="Arial" w:cs="Arial"/>
                <w:b/>
                <w:color w:val="FF0000"/>
                <w:sz w:val="18"/>
                <w:szCs w:val="18"/>
                <w:lang w:val="es-CR" w:bidi="en-US"/>
              </w:rPr>
              <w:t>*</w:t>
            </w:r>
          </w:p>
        </w:tc>
      </w:tr>
      <w:tr w:rsidR="005F7180" w:rsidRPr="000F54A2" w:rsidTr="00B567C6">
        <w:trPr>
          <w:trHeight w:val="524"/>
        </w:trPr>
        <w:tc>
          <w:tcPr>
            <w:tcW w:w="2552" w:type="dxa"/>
            <w:shd w:val="clear" w:color="auto" w:fill="F2F2F2" w:themeFill="background1" w:themeFillShade="F2"/>
            <w:vAlign w:val="center"/>
          </w:tcPr>
          <w:p w:rsidR="005F7180" w:rsidRPr="000F54A2" w:rsidRDefault="005F7180" w:rsidP="00B567C6">
            <w:pPr>
              <w:pStyle w:val="Sinespaciado"/>
              <w:jc w:val="both"/>
              <w:rPr>
                <w:rFonts w:ascii="Arial" w:hAnsi="Arial" w:cs="Arial"/>
                <w:b/>
                <w:sz w:val="18"/>
                <w:szCs w:val="18"/>
                <w:lang w:val="es-CR" w:bidi="en-US"/>
              </w:rPr>
            </w:pPr>
            <w:r>
              <w:rPr>
                <w:rFonts w:ascii="Arial" w:hAnsi="Arial" w:cs="Arial"/>
                <w:b/>
                <w:sz w:val="18"/>
                <w:szCs w:val="18"/>
                <w:lang w:val="es-CR" w:bidi="en-US"/>
              </w:rPr>
              <w:t>01</w:t>
            </w:r>
            <w:r w:rsidRPr="000F54A2">
              <w:rPr>
                <w:rFonts w:ascii="Arial" w:hAnsi="Arial" w:cs="Arial"/>
                <w:b/>
                <w:sz w:val="18"/>
                <w:szCs w:val="18"/>
                <w:lang w:val="es-CR" w:bidi="en-US"/>
              </w:rPr>
              <w:t xml:space="preserve"> de Diciembre 2019 al</w:t>
            </w:r>
          </w:p>
          <w:p w:rsidR="005F7180" w:rsidRPr="000F54A2" w:rsidRDefault="005F7180" w:rsidP="00B567C6">
            <w:pPr>
              <w:pStyle w:val="Sinespaciado"/>
              <w:jc w:val="both"/>
              <w:rPr>
                <w:rFonts w:ascii="Arial" w:hAnsi="Arial" w:cs="Arial"/>
                <w:b/>
                <w:sz w:val="18"/>
                <w:szCs w:val="18"/>
                <w:lang w:val="es-CR" w:bidi="en-US"/>
              </w:rPr>
            </w:pPr>
            <w:r w:rsidRPr="000F54A2">
              <w:rPr>
                <w:rFonts w:ascii="Arial" w:hAnsi="Arial" w:cs="Arial"/>
                <w:b/>
                <w:sz w:val="18"/>
                <w:szCs w:val="18"/>
                <w:lang w:val="es-CR" w:bidi="en-US"/>
              </w:rPr>
              <w:t xml:space="preserve">30 de </w:t>
            </w:r>
            <w:r w:rsidR="00450A69">
              <w:rPr>
                <w:rFonts w:ascii="Arial" w:hAnsi="Arial" w:cs="Arial"/>
                <w:b/>
                <w:sz w:val="18"/>
                <w:szCs w:val="18"/>
                <w:lang w:val="es-CR" w:bidi="en-US"/>
              </w:rPr>
              <w:t>Abril</w:t>
            </w:r>
            <w:r w:rsidRPr="000F54A2">
              <w:rPr>
                <w:rFonts w:ascii="Arial" w:hAnsi="Arial" w:cs="Arial"/>
                <w:b/>
                <w:sz w:val="18"/>
                <w:szCs w:val="18"/>
                <w:lang w:val="es-CR" w:bidi="en-US"/>
              </w:rPr>
              <w:t>, 2020</w:t>
            </w:r>
            <w:r w:rsidRPr="003202BE">
              <w:rPr>
                <w:rFonts w:ascii="Arial" w:hAnsi="Arial" w:cs="Arial"/>
                <w:b/>
                <w:color w:val="FF0000"/>
                <w:sz w:val="18"/>
                <w:szCs w:val="18"/>
                <w:lang w:val="es-CR" w:bidi="en-US"/>
              </w:rPr>
              <w:t>***</w:t>
            </w:r>
          </w:p>
        </w:tc>
        <w:tc>
          <w:tcPr>
            <w:tcW w:w="1217" w:type="dxa"/>
            <w:shd w:val="clear" w:color="auto" w:fill="F2F2F2" w:themeFill="background1" w:themeFillShade="F2"/>
            <w:vAlign w:val="center"/>
          </w:tcPr>
          <w:p w:rsidR="005F7180" w:rsidRPr="000F54A2" w:rsidRDefault="005F7180" w:rsidP="00450A69">
            <w:pPr>
              <w:spacing w:after="120"/>
              <w:jc w:val="center"/>
              <w:rPr>
                <w:sz w:val="18"/>
                <w:szCs w:val="18"/>
              </w:rPr>
            </w:pPr>
            <w:r>
              <w:rPr>
                <w:sz w:val="18"/>
                <w:szCs w:val="18"/>
              </w:rPr>
              <w:t>$</w:t>
            </w:r>
            <w:r w:rsidR="00450A69">
              <w:rPr>
                <w:sz w:val="18"/>
                <w:szCs w:val="18"/>
              </w:rPr>
              <w:t>1,691</w:t>
            </w:r>
          </w:p>
        </w:tc>
        <w:tc>
          <w:tcPr>
            <w:tcW w:w="1218" w:type="dxa"/>
            <w:shd w:val="clear" w:color="auto" w:fill="F2F2F2" w:themeFill="background1" w:themeFillShade="F2"/>
            <w:vAlign w:val="center"/>
          </w:tcPr>
          <w:p w:rsidR="005F7180" w:rsidRPr="000F54A2" w:rsidRDefault="005F7180" w:rsidP="00450A69">
            <w:pPr>
              <w:spacing w:after="120"/>
              <w:jc w:val="center"/>
              <w:rPr>
                <w:sz w:val="18"/>
                <w:szCs w:val="18"/>
              </w:rPr>
            </w:pPr>
            <w:r>
              <w:rPr>
                <w:sz w:val="18"/>
                <w:szCs w:val="18"/>
              </w:rPr>
              <w:t>$1,</w:t>
            </w:r>
            <w:r w:rsidR="00450A69">
              <w:rPr>
                <w:sz w:val="18"/>
                <w:szCs w:val="18"/>
              </w:rPr>
              <w:t>064</w:t>
            </w:r>
          </w:p>
        </w:tc>
        <w:tc>
          <w:tcPr>
            <w:tcW w:w="1218" w:type="dxa"/>
            <w:shd w:val="clear" w:color="auto" w:fill="F2F2F2" w:themeFill="background1" w:themeFillShade="F2"/>
            <w:vAlign w:val="center"/>
          </w:tcPr>
          <w:p w:rsidR="005F7180" w:rsidRPr="000F54A2" w:rsidRDefault="005F7180" w:rsidP="00B567C6">
            <w:pPr>
              <w:spacing w:after="120"/>
              <w:jc w:val="center"/>
              <w:rPr>
                <w:sz w:val="18"/>
                <w:szCs w:val="18"/>
              </w:rPr>
            </w:pPr>
            <w:r>
              <w:rPr>
                <w:sz w:val="18"/>
                <w:szCs w:val="18"/>
              </w:rPr>
              <w:t>$</w:t>
            </w:r>
            <w:r w:rsidR="00B567C6">
              <w:rPr>
                <w:sz w:val="18"/>
                <w:szCs w:val="18"/>
              </w:rPr>
              <w:t>992</w:t>
            </w:r>
          </w:p>
        </w:tc>
        <w:tc>
          <w:tcPr>
            <w:tcW w:w="1218" w:type="dxa"/>
            <w:shd w:val="clear" w:color="auto" w:fill="F2F2F2" w:themeFill="background1" w:themeFillShade="F2"/>
            <w:vAlign w:val="center"/>
          </w:tcPr>
          <w:p w:rsidR="005F7180" w:rsidRPr="000F54A2" w:rsidRDefault="005F7180" w:rsidP="00B567C6">
            <w:pPr>
              <w:spacing w:after="120"/>
              <w:jc w:val="center"/>
              <w:rPr>
                <w:sz w:val="18"/>
                <w:szCs w:val="18"/>
              </w:rPr>
            </w:pPr>
            <w:r>
              <w:rPr>
                <w:sz w:val="18"/>
                <w:szCs w:val="18"/>
              </w:rPr>
              <w:t>$</w:t>
            </w:r>
            <w:r w:rsidR="00B567C6">
              <w:rPr>
                <w:sz w:val="18"/>
                <w:szCs w:val="18"/>
              </w:rPr>
              <w:t>352</w:t>
            </w:r>
          </w:p>
        </w:tc>
        <w:tc>
          <w:tcPr>
            <w:tcW w:w="1218" w:type="dxa"/>
            <w:shd w:val="clear" w:color="auto" w:fill="F2F2F2" w:themeFill="background1" w:themeFillShade="F2"/>
            <w:vAlign w:val="center"/>
          </w:tcPr>
          <w:p w:rsidR="005F7180" w:rsidRPr="000F54A2" w:rsidRDefault="005F7180" w:rsidP="00B567C6">
            <w:pPr>
              <w:spacing w:after="120"/>
              <w:jc w:val="center"/>
              <w:rPr>
                <w:sz w:val="18"/>
                <w:szCs w:val="18"/>
              </w:rPr>
            </w:pPr>
            <w:r>
              <w:rPr>
                <w:sz w:val="18"/>
                <w:szCs w:val="18"/>
              </w:rPr>
              <w:t>$2,</w:t>
            </w:r>
            <w:r w:rsidR="00B567C6">
              <w:rPr>
                <w:sz w:val="18"/>
                <w:szCs w:val="18"/>
              </w:rPr>
              <w:t>114</w:t>
            </w:r>
          </w:p>
        </w:tc>
      </w:tr>
      <w:tr w:rsidR="00450A69" w:rsidRPr="000F54A2" w:rsidTr="00B567C6">
        <w:trPr>
          <w:trHeight w:val="532"/>
        </w:trPr>
        <w:tc>
          <w:tcPr>
            <w:tcW w:w="2552" w:type="dxa"/>
            <w:shd w:val="clear" w:color="auto" w:fill="D9D9D9" w:themeFill="background1" w:themeFillShade="D9"/>
            <w:vAlign w:val="center"/>
          </w:tcPr>
          <w:p w:rsidR="00450A69" w:rsidRPr="00450A69" w:rsidRDefault="00450A69" w:rsidP="00B567C6">
            <w:pPr>
              <w:pStyle w:val="Sinespaciado"/>
              <w:jc w:val="both"/>
              <w:rPr>
                <w:rFonts w:ascii="Arial" w:hAnsi="Arial" w:cs="Arial"/>
                <w:b/>
                <w:sz w:val="18"/>
                <w:szCs w:val="18"/>
                <w:lang w:val="es-CR" w:bidi="en-US"/>
              </w:rPr>
            </w:pPr>
            <w:r w:rsidRPr="00450A69">
              <w:rPr>
                <w:rFonts w:ascii="Arial" w:hAnsi="Arial" w:cs="Arial"/>
                <w:b/>
                <w:sz w:val="18"/>
                <w:szCs w:val="18"/>
                <w:lang w:val="es-CR" w:bidi="en-US"/>
              </w:rPr>
              <w:t>01 de Mayo, 2020 –</w:t>
            </w:r>
          </w:p>
          <w:p w:rsidR="00450A69" w:rsidRDefault="00450A69" w:rsidP="00B567C6">
            <w:pPr>
              <w:pStyle w:val="Sinespaciado"/>
              <w:jc w:val="both"/>
              <w:rPr>
                <w:rFonts w:ascii="Arial" w:hAnsi="Arial" w:cs="Arial"/>
                <w:b/>
                <w:sz w:val="18"/>
                <w:szCs w:val="18"/>
                <w:lang w:val="es-CR" w:bidi="en-US"/>
              </w:rPr>
            </w:pPr>
            <w:r w:rsidRPr="00450A69">
              <w:rPr>
                <w:rFonts w:ascii="Arial" w:hAnsi="Arial" w:cs="Arial"/>
                <w:b/>
                <w:sz w:val="18"/>
                <w:szCs w:val="18"/>
                <w:lang w:val="es-CR" w:bidi="en-US"/>
              </w:rPr>
              <w:t>30 de Noviembre, 2020</w:t>
            </w:r>
          </w:p>
        </w:tc>
        <w:tc>
          <w:tcPr>
            <w:tcW w:w="1217" w:type="dxa"/>
            <w:shd w:val="clear" w:color="auto" w:fill="D9D9D9" w:themeFill="background1" w:themeFillShade="D9"/>
            <w:vAlign w:val="center"/>
          </w:tcPr>
          <w:p w:rsidR="00450A69" w:rsidRPr="000F54A2" w:rsidRDefault="00450A69" w:rsidP="00450A69">
            <w:pPr>
              <w:spacing w:after="120"/>
              <w:jc w:val="center"/>
              <w:rPr>
                <w:sz w:val="18"/>
                <w:szCs w:val="18"/>
              </w:rPr>
            </w:pPr>
            <w:r>
              <w:rPr>
                <w:sz w:val="18"/>
                <w:szCs w:val="18"/>
              </w:rPr>
              <w:t>$</w:t>
            </w:r>
            <w:r>
              <w:rPr>
                <w:sz w:val="18"/>
                <w:szCs w:val="18"/>
              </w:rPr>
              <w:t>1,622</w:t>
            </w:r>
          </w:p>
        </w:tc>
        <w:tc>
          <w:tcPr>
            <w:tcW w:w="1218" w:type="dxa"/>
            <w:shd w:val="clear" w:color="auto" w:fill="D9D9D9" w:themeFill="background1" w:themeFillShade="D9"/>
            <w:vAlign w:val="center"/>
          </w:tcPr>
          <w:p w:rsidR="00450A69" w:rsidRPr="000F54A2" w:rsidRDefault="00450A69" w:rsidP="00450A69">
            <w:pPr>
              <w:spacing w:after="120"/>
              <w:jc w:val="center"/>
              <w:rPr>
                <w:sz w:val="18"/>
                <w:szCs w:val="18"/>
              </w:rPr>
            </w:pPr>
            <w:r>
              <w:rPr>
                <w:sz w:val="18"/>
                <w:szCs w:val="18"/>
              </w:rPr>
              <w:t>$1,</w:t>
            </w:r>
            <w:r>
              <w:rPr>
                <w:sz w:val="18"/>
                <w:szCs w:val="18"/>
              </w:rPr>
              <w:t>034</w:t>
            </w:r>
          </w:p>
        </w:tc>
        <w:tc>
          <w:tcPr>
            <w:tcW w:w="1218" w:type="dxa"/>
            <w:shd w:val="clear" w:color="auto" w:fill="D9D9D9" w:themeFill="background1" w:themeFillShade="D9"/>
            <w:vAlign w:val="center"/>
          </w:tcPr>
          <w:p w:rsidR="00450A69" w:rsidRPr="000F54A2" w:rsidRDefault="00450A69" w:rsidP="00B567C6">
            <w:pPr>
              <w:spacing w:after="120"/>
              <w:jc w:val="center"/>
              <w:rPr>
                <w:sz w:val="18"/>
                <w:szCs w:val="18"/>
              </w:rPr>
            </w:pPr>
            <w:r>
              <w:rPr>
                <w:sz w:val="18"/>
                <w:szCs w:val="18"/>
              </w:rPr>
              <w:t>$</w:t>
            </w:r>
            <w:r w:rsidR="00B567C6">
              <w:rPr>
                <w:sz w:val="18"/>
                <w:szCs w:val="18"/>
              </w:rPr>
              <w:t>972</w:t>
            </w:r>
          </w:p>
        </w:tc>
        <w:tc>
          <w:tcPr>
            <w:tcW w:w="1218" w:type="dxa"/>
            <w:shd w:val="clear" w:color="auto" w:fill="D9D9D9" w:themeFill="background1" w:themeFillShade="D9"/>
            <w:vAlign w:val="center"/>
          </w:tcPr>
          <w:p w:rsidR="00450A69" w:rsidRPr="000F54A2" w:rsidRDefault="00450A69" w:rsidP="00B567C6">
            <w:pPr>
              <w:spacing w:after="120"/>
              <w:jc w:val="center"/>
              <w:rPr>
                <w:sz w:val="18"/>
                <w:szCs w:val="18"/>
              </w:rPr>
            </w:pPr>
            <w:r>
              <w:rPr>
                <w:sz w:val="18"/>
                <w:szCs w:val="18"/>
              </w:rPr>
              <w:t>$</w:t>
            </w:r>
            <w:r w:rsidR="00B567C6">
              <w:rPr>
                <w:sz w:val="18"/>
                <w:szCs w:val="18"/>
              </w:rPr>
              <w:t>358</w:t>
            </w:r>
          </w:p>
        </w:tc>
        <w:tc>
          <w:tcPr>
            <w:tcW w:w="1218" w:type="dxa"/>
            <w:shd w:val="clear" w:color="auto" w:fill="D9D9D9" w:themeFill="background1" w:themeFillShade="D9"/>
            <w:vAlign w:val="center"/>
          </w:tcPr>
          <w:p w:rsidR="00450A69" w:rsidRPr="000F54A2" w:rsidRDefault="00450A69" w:rsidP="00B567C6">
            <w:pPr>
              <w:spacing w:after="120"/>
              <w:jc w:val="center"/>
              <w:rPr>
                <w:sz w:val="18"/>
                <w:szCs w:val="18"/>
              </w:rPr>
            </w:pPr>
            <w:r>
              <w:rPr>
                <w:sz w:val="18"/>
                <w:szCs w:val="18"/>
              </w:rPr>
              <w:t>$2,</w:t>
            </w:r>
            <w:r w:rsidR="00B567C6">
              <w:rPr>
                <w:sz w:val="18"/>
                <w:szCs w:val="18"/>
              </w:rPr>
              <w:t>053</w:t>
            </w:r>
          </w:p>
        </w:tc>
      </w:tr>
    </w:tbl>
    <w:p w:rsidR="005F7180" w:rsidRPr="003202BE" w:rsidRDefault="005F7180" w:rsidP="005F7180">
      <w:pPr>
        <w:spacing w:after="120"/>
        <w:jc w:val="both"/>
        <w:rPr>
          <w:sz w:val="16"/>
          <w:szCs w:val="16"/>
        </w:rPr>
      </w:pPr>
      <w:r w:rsidRPr="003202BE">
        <w:rPr>
          <w:color w:val="FF0000"/>
          <w:sz w:val="16"/>
          <w:szCs w:val="16"/>
        </w:rPr>
        <w:t>*</w:t>
      </w:r>
      <w:r w:rsidRPr="003202BE">
        <w:rPr>
          <w:sz w:val="16"/>
          <w:szCs w:val="16"/>
        </w:rPr>
        <w:t>Precio pasajero viajando solo.</w:t>
      </w:r>
    </w:p>
    <w:p w:rsidR="005F7180" w:rsidRPr="003202BE" w:rsidRDefault="005F7180" w:rsidP="005F7180">
      <w:pPr>
        <w:spacing w:after="120"/>
        <w:jc w:val="both"/>
        <w:rPr>
          <w:sz w:val="16"/>
          <w:szCs w:val="16"/>
        </w:rPr>
      </w:pPr>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p>
    <w:p w:rsidR="005F7180" w:rsidRPr="003202BE" w:rsidRDefault="005F7180" w:rsidP="005F7180">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136853" w:rsidRPr="000F54A2" w:rsidRDefault="00136853" w:rsidP="00EA0873">
      <w:pPr>
        <w:spacing w:after="80"/>
        <w:jc w:val="both"/>
        <w:rPr>
          <w:b/>
          <w:sz w:val="18"/>
          <w:szCs w:val="18"/>
        </w:rPr>
      </w:pPr>
      <w:r w:rsidRPr="000F54A2">
        <w:rPr>
          <w:b/>
          <w:sz w:val="18"/>
          <w:szCs w:val="18"/>
        </w:rPr>
        <w:lastRenderedPageBreak/>
        <w:t>PRECIO INCLUYE</w:t>
      </w:r>
    </w:p>
    <w:p w:rsidR="00136853" w:rsidRPr="000F54A2" w:rsidRDefault="00136853" w:rsidP="005F7180">
      <w:pPr>
        <w:pStyle w:val="Prrafodelista"/>
        <w:numPr>
          <w:ilvl w:val="0"/>
          <w:numId w:val="5"/>
        </w:numPr>
        <w:spacing w:after="120"/>
        <w:ind w:left="851" w:hanging="357"/>
        <w:contextualSpacing w:val="0"/>
        <w:jc w:val="both"/>
        <w:rPr>
          <w:sz w:val="18"/>
          <w:szCs w:val="18"/>
        </w:rPr>
      </w:pPr>
      <w:r w:rsidRPr="000F54A2">
        <w:rPr>
          <w:sz w:val="18"/>
          <w:szCs w:val="18"/>
        </w:rPr>
        <w:t>Traslado regular desde el Aeropuerto Int</w:t>
      </w:r>
      <w:r w:rsidR="00151C3D">
        <w:rPr>
          <w:sz w:val="18"/>
          <w:szCs w:val="18"/>
        </w:rPr>
        <w:t>ernacional</w:t>
      </w:r>
      <w:r w:rsidRPr="000F54A2">
        <w:rPr>
          <w:sz w:val="18"/>
          <w:szCs w:val="18"/>
        </w:rPr>
        <w:t xml:space="preserve"> SJO hasta San José.</w:t>
      </w:r>
    </w:p>
    <w:p w:rsidR="005F7180" w:rsidRPr="005F7180" w:rsidRDefault="005F7180" w:rsidP="005F7180">
      <w:pPr>
        <w:pStyle w:val="Prrafodelista"/>
        <w:numPr>
          <w:ilvl w:val="0"/>
          <w:numId w:val="5"/>
        </w:numPr>
        <w:spacing w:after="120"/>
        <w:ind w:left="851"/>
        <w:contextualSpacing w:val="0"/>
        <w:jc w:val="both"/>
        <w:rPr>
          <w:sz w:val="18"/>
          <w:szCs w:val="18"/>
        </w:rPr>
      </w:pPr>
      <w:r>
        <w:rPr>
          <w:sz w:val="18"/>
          <w:szCs w:val="18"/>
        </w:rPr>
        <w:t>Cuatro</w:t>
      </w:r>
      <w:r w:rsidRPr="005F7180">
        <w:rPr>
          <w:sz w:val="18"/>
          <w:szCs w:val="18"/>
        </w:rPr>
        <w:t xml:space="preserve"> noches de hospedaje en el hotel seleccionado en San José.</w:t>
      </w:r>
    </w:p>
    <w:p w:rsidR="005F7180" w:rsidRPr="005F7180" w:rsidRDefault="005F7180" w:rsidP="00BB4EF2">
      <w:pPr>
        <w:pStyle w:val="Prrafodelista"/>
        <w:numPr>
          <w:ilvl w:val="0"/>
          <w:numId w:val="5"/>
        </w:numPr>
        <w:spacing w:after="120"/>
        <w:ind w:left="851"/>
        <w:contextualSpacing w:val="0"/>
        <w:jc w:val="both"/>
        <w:rPr>
          <w:sz w:val="18"/>
          <w:szCs w:val="18"/>
        </w:rPr>
      </w:pPr>
      <w:r w:rsidRPr="005F7180">
        <w:rPr>
          <w:sz w:val="18"/>
          <w:szCs w:val="18"/>
        </w:rPr>
        <w:t xml:space="preserve">Excursión a Isla Tortuga (Opera los días miércoles, viernes, sábados </w:t>
      </w:r>
      <w:r w:rsidRPr="005F7180">
        <w:rPr>
          <w:sz w:val="18"/>
          <w:szCs w:val="18"/>
        </w:rPr>
        <w:t>y</w:t>
      </w:r>
      <w:r w:rsidRPr="005F7180">
        <w:rPr>
          <w:sz w:val="18"/>
          <w:szCs w:val="18"/>
        </w:rPr>
        <w:t xml:space="preserve"> domingos)</w:t>
      </w:r>
      <w:r w:rsidRPr="005F7180">
        <w:rPr>
          <w:sz w:val="18"/>
          <w:szCs w:val="18"/>
        </w:rPr>
        <w:t xml:space="preserve">. </w:t>
      </w:r>
      <w:r w:rsidRPr="005F7180">
        <w:rPr>
          <w:sz w:val="18"/>
          <w:szCs w:val="18"/>
        </w:rPr>
        <w:t>Incluye: Transporte, Desayuno Ligero, Guía, Catamarán &amp; Almuerzo.</w:t>
      </w:r>
    </w:p>
    <w:p w:rsidR="005F7180" w:rsidRPr="005F7180" w:rsidRDefault="005F7180" w:rsidP="005F7180">
      <w:pPr>
        <w:pStyle w:val="Prrafodelista"/>
        <w:numPr>
          <w:ilvl w:val="0"/>
          <w:numId w:val="5"/>
        </w:numPr>
        <w:spacing w:after="120"/>
        <w:ind w:left="851"/>
        <w:contextualSpacing w:val="0"/>
        <w:jc w:val="both"/>
        <w:rPr>
          <w:sz w:val="18"/>
          <w:szCs w:val="18"/>
        </w:rPr>
      </w:pPr>
      <w:r w:rsidRPr="005F7180">
        <w:rPr>
          <w:sz w:val="18"/>
          <w:szCs w:val="18"/>
        </w:rPr>
        <w:t>Los clientes deben traer una copia de su pasaporte.</w:t>
      </w:r>
    </w:p>
    <w:p w:rsidR="005F7180" w:rsidRPr="005F7180" w:rsidRDefault="005F7180" w:rsidP="0039756B">
      <w:pPr>
        <w:pStyle w:val="Prrafodelista"/>
        <w:numPr>
          <w:ilvl w:val="0"/>
          <w:numId w:val="5"/>
        </w:numPr>
        <w:spacing w:after="120"/>
        <w:ind w:left="851"/>
        <w:contextualSpacing w:val="0"/>
        <w:jc w:val="both"/>
        <w:rPr>
          <w:sz w:val="18"/>
          <w:szCs w:val="18"/>
        </w:rPr>
      </w:pPr>
      <w:r w:rsidRPr="005F7180">
        <w:rPr>
          <w:sz w:val="18"/>
          <w:szCs w:val="18"/>
        </w:rPr>
        <w:t>Excursión al Volcán Arenal y las Aguas Termales de Tabacon.</w:t>
      </w:r>
      <w:r w:rsidRPr="005F7180">
        <w:rPr>
          <w:sz w:val="18"/>
          <w:szCs w:val="18"/>
        </w:rPr>
        <w:t xml:space="preserve"> </w:t>
      </w:r>
      <w:r w:rsidRPr="005F7180">
        <w:rPr>
          <w:sz w:val="18"/>
          <w:szCs w:val="18"/>
        </w:rPr>
        <w:t xml:space="preserve">Incluye: Transporte, Guía, Entradas, Almuerzo </w:t>
      </w:r>
      <w:r>
        <w:rPr>
          <w:sz w:val="18"/>
          <w:szCs w:val="18"/>
        </w:rPr>
        <w:t>y</w:t>
      </w:r>
      <w:r w:rsidRPr="005F7180">
        <w:rPr>
          <w:sz w:val="18"/>
          <w:szCs w:val="18"/>
        </w:rPr>
        <w:t xml:space="preserve"> Cena.</w:t>
      </w:r>
    </w:p>
    <w:p w:rsidR="005F7180" w:rsidRPr="005F7180" w:rsidRDefault="005F7180" w:rsidP="005F7180">
      <w:pPr>
        <w:pStyle w:val="Prrafodelista"/>
        <w:numPr>
          <w:ilvl w:val="0"/>
          <w:numId w:val="5"/>
        </w:numPr>
        <w:spacing w:after="120"/>
        <w:ind w:left="851"/>
        <w:contextualSpacing w:val="0"/>
        <w:jc w:val="both"/>
        <w:rPr>
          <w:sz w:val="18"/>
          <w:szCs w:val="18"/>
        </w:rPr>
      </w:pPr>
      <w:r w:rsidRPr="005F7180">
        <w:rPr>
          <w:sz w:val="18"/>
          <w:szCs w:val="18"/>
        </w:rPr>
        <w:t>Traslado regular del hotel seleccionado en San José al Aeropuerto Internacional SJO.</w:t>
      </w:r>
    </w:p>
    <w:p w:rsidR="005F7180" w:rsidRDefault="005F7180" w:rsidP="005F7180">
      <w:pPr>
        <w:pStyle w:val="Prrafodelista"/>
        <w:numPr>
          <w:ilvl w:val="0"/>
          <w:numId w:val="5"/>
        </w:numPr>
        <w:spacing w:after="120"/>
        <w:ind w:left="851"/>
        <w:contextualSpacing w:val="0"/>
        <w:jc w:val="both"/>
        <w:rPr>
          <w:sz w:val="18"/>
          <w:szCs w:val="18"/>
        </w:rPr>
      </w:pPr>
      <w:r w:rsidRPr="005F7180">
        <w:rPr>
          <w:sz w:val="18"/>
          <w:szCs w:val="18"/>
        </w:rPr>
        <w:t xml:space="preserve">4 Desayunos, 2 Almuerzos </w:t>
      </w:r>
      <w:r>
        <w:rPr>
          <w:sz w:val="18"/>
          <w:szCs w:val="18"/>
        </w:rPr>
        <w:t>y</w:t>
      </w:r>
      <w:r w:rsidRPr="005F7180">
        <w:rPr>
          <w:sz w:val="18"/>
          <w:szCs w:val="18"/>
        </w:rPr>
        <w:t xml:space="preserve"> 1 Cena</w:t>
      </w:r>
    </w:p>
    <w:p w:rsidR="00136853" w:rsidRPr="000F54A2" w:rsidRDefault="00136853" w:rsidP="005F7180">
      <w:pPr>
        <w:pStyle w:val="Prrafodelista"/>
        <w:numPr>
          <w:ilvl w:val="0"/>
          <w:numId w:val="5"/>
        </w:numPr>
        <w:spacing w:after="80"/>
        <w:ind w:left="851"/>
        <w:contextualSpacing w:val="0"/>
        <w:jc w:val="both"/>
        <w:rPr>
          <w:sz w:val="18"/>
          <w:szCs w:val="18"/>
        </w:rPr>
      </w:pPr>
      <w:r w:rsidRPr="000F54A2">
        <w:rPr>
          <w:sz w:val="18"/>
          <w:szCs w:val="18"/>
        </w:rPr>
        <w:t>Impuesto de ventas</w:t>
      </w:r>
      <w:r w:rsidR="00477978">
        <w:rPr>
          <w:sz w:val="18"/>
          <w:szCs w:val="18"/>
        </w:rPr>
        <w:t>.</w:t>
      </w:r>
    </w:p>
    <w:p w:rsidR="00136853" w:rsidRPr="000F54A2" w:rsidRDefault="00136853" w:rsidP="00EA0873">
      <w:pPr>
        <w:pStyle w:val="Prrafodelista"/>
        <w:spacing w:after="120"/>
        <w:contextualSpacing w:val="0"/>
        <w:jc w:val="both"/>
        <w:rPr>
          <w:sz w:val="18"/>
          <w:szCs w:val="18"/>
        </w:rPr>
      </w:pPr>
    </w:p>
    <w:p w:rsidR="00136853" w:rsidRPr="000F54A2" w:rsidRDefault="00136853" w:rsidP="00EA0873">
      <w:pPr>
        <w:pStyle w:val="Prrafodelista"/>
        <w:spacing w:after="120"/>
        <w:ind w:left="0"/>
        <w:contextualSpacing w:val="0"/>
        <w:jc w:val="both"/>
        <w:rPr>
          <w:b/>
          <w:sz w:val="18"/>
          <w:szCs w:val="18"/>
        </w:rPr>
      </w:pPr>
      <w:r w:rsidRPr="000F54A2">
        <w:rPr>
          <w:b/>
          <w:sz w:val="18"/>
          <w:szCs w:val="18"/>
        </w:rPr>
        <w:t xml:space="preserve">Notas Importantes: </w:t>
      </w:r>
    </w:p>
    <w:p w:rsidR="00136853" w:rsidRPr="000F54A2" w:rsidRDefault="006702CE" w:rsidP="00EA0873">
      <w:pPr>
        <w:pStyle w:val="Prrafodelista"/>
        <w:numPr>
          <w:ilvl w:val="0"/>
          <w:numId w:val="8"/>
        </w:numPr>
        <w:spacing w:after="80"/>
        <w:ind w:left="851" w:hanging="357"/>
        <w:contextualSpacing w:val="0"/>
        <w:jc w:val="both"/>
        <w:rPr>
          <w:sz w:val="18"/>
          <w:szCs w:val="18"/>
        </w:rPr>
      </w:pPr>
      <w:r w:rsidRPr="000F54A2">
        <w:rPr>
          <w:sz w:val="18"/>
          <w:szCs w:val="18"/>
        </w:rPr>
        <w:t xml:space="preserve">La </w:t>
      </w:r>
      <w:r w:rsidR="00136853" w:rsidRPr="000F54A2">
        <w:rPr>
          <w:sz w:val="18"/>
          <w:szCs w:val="18"/>
        </w:rPr>
        <w:t>apreciación de los diferentes atractivos turísticos (flora y fauna) que se mencionan en los programas están sujetos a las condiciones climáticas de cada lugar.</w:t>
      </w:r>
    </w:p>
    <w:p w:rsidR="00136853" w:rsidRPr="000F54A2" w:rsidRDefault="00136853" w:rsidP="00EA0873">
      <w:pPr>
        <w:pStyle w:val="Prrafodelista"/>
        <w:numPr>
          <w:ilvl w:val="0"/>
          <w:numId w:val="8"/>
        </w:numPr>
        <w:spacing w:after="80"/>
        <w:ind w:left="851" w:hanging="357"/>
        <w:contextualSpacing w:val="0"/>
        <w:jc w:val="both"/>
        <w:rPr>
          <w:sz w:val="18"/>
          <w:szCs w:val="18"/>
        </w:rPr>
      </w:pPr>
      <w:r w:rsidRPr="000F54A2">
        <w:rPr>
          <w:sz w:val="18"/>
          <w:szCs w:val="18"/>
        </w:rPr>
        <w:t>Existe un máximo de equipaje permito de 18 kilogramos por persona.</w:t>
      </w:r>
    </w:p>
    <w:p w:rsidR="00136853" w:rsidRPr="000F54A2" w:rsidRDefault="00AD7B0D" w:rsidP="00EA0873">
      <w:pPr>
        <w:pStyle w:val="Prrafodelista"/>
        <w:numPr>
          <w:ilvl w:val="0"/>
          <w:numId w:val="8"/>
        </w:numPr>
        <w:spacing w:after="80"/>
        <w:ind w:left="851" w:hanging="357"/>
        <w:contextualSpacing w:val="0"/>
        <w:jc w:val="both"/>
        <w:rPr>
          <w:sz w:val="18"/>
          <w:szCs w:val="18"/>
        </w:rPr>
      </w:pPr>
      <w:r>
        <w:rPr>
          <w:sz w:val="18"/>
          <w:szCs w:val="18"/>
        </w:rPr>
        <w:t>E</w:t>
      </w:r>
      <w:r w:rsidR="00136853" w:rsidRPr="000F54A2">
        <w:rPr>
          <w:sz w:val="18"/>
          <w:szCs w:val="18"/>
        </w:rPr>
        <w:t>n caso de presentarse incrementos abruptos en los precios internacionales del combustible, se aplicaría un costo extra a las tarifas.</w:t>
      </w:r>
    </w:p>
    <w:p w:rsidR="00136853" w:rsidRPr="000F54A2" w:rsidRDefault="00136853" w:rsidP="00EA0873">
      <w:pPr>
        <w:pStyle w:val="Prrafodelista"/>
        <w:numPr>
          <w:ilvl w:val="0"/>
          <w:numId w:val="8"/>
        </w:numPr>
        <w:spacing w:after="80"/>
        <w:ind w:left="851" w:hanging="357"/>
        <w:contextualSpacing w:val="0"/>
        <w:jc w:val="both"/>
        <w:rPr>
          <w:sz w:val="18"/>
          <w:szCs w:val="18"/>
        </w:rPr>
      </w:pPr>
      <w:r w:rsidRPr="000F54A2">
        <w:rPr>
          <w:sz w:val="18"/>
          <w:szCs w:val="18"/>
        </w:rPr>
        <w:t>Para los programas que involucren traslados regulares y excursiones regulares, tomar en consideración que estos servicios están sujetos a horarios pre-establecidos y sujetos a cambios.</w:t>
      </w:r>
    </w:p>
    <w:p w:rsidR="00136853" w:rsidRPr="000F54A2" w:rsidRDefault="00136853" w:rsidP="00EA0873">
      <w:pPr>
        <w:pStyle w:val="Prrafodelista"/>
        <w:numPr>
          <w:ilvl w:val="0"/>
          <w:numId w:val="8"/>
        </w:numPr>
        <w:spacing w:after="80"/>
        <w:ind w:left="851" w:hanging="357"/>
        <w:contextualSpacing w:val="0"/>
        <w:jc w:val="both"/>
        <w:rPr>
          <w:sz w:val="18"/>
          <w:szCs w:val="18"/>
        </w:rPr>
      </w:pPr>
      <w:r w:rsidRPr="000F54A2">
        <w:rPr>
          <w:sz w:val="18"/>
          <w:szCs w:val="18"/>
        </w:rPr>
        <w:t>Para los programas que involucren traslados regulares pueden existir Transbordos.</w:t>
      </w:r>
    </w:p>
    <w:p w:rsidR="00136853" w:rsidRPr="000F54A2" w:rsidRDefault="00136853" w:rsidP="00EA0873">
      <w:pPr>
        <w:pStyle w:val="Prrafodelista"/>
        <w:numPr>
          <w:ilvl w:val="0"/>
          <w:numId w:val="8"/>
        </w:numPr>
        <w:spacing w:after="80"/>
        <w:ind w:left="851" w:hanging="357"/>
        <w:contextualSpacing w:val="0"/>
        <w:jc w:val="both"/>
        <w:rPr>
          <w:sz w:val="18"/>
          <w:szCs w:val="18"/>
        </w:rPr>
      </w:pPr>
      <w:r w:rsidRPr="000F54A2">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FA1C4B" w:rsidRPr="000F54A2" w:rsidRDefault="00136853" w:rsidP="00EA0873">
      <w:pPr>
        <w:pStyle w:val="Prrafodelista"/>
        <w:numPr>
          <w:ilvl w:val="0"/>
          <w:numId w:val="8"/>
        </w:numPr>
        <w:spacing w:after="80"/>
        <w:ind w:left="851" w:hanging="357"/>
        <w:contextualSpacing w:val="0"/>
        <w:jc w:val="both"/>
        <w:rPr>
          <w:sz w:val="18"/>
          <w:szCs w:val="18"/>
        </w:rPr>
      </w:pPr>
      <w:r w:rsidRPr="000F54A2">
        <w:rPr>
          <w:sz w:val="18"/>
          <w:szCs w:val="18"/>
        </w:rPr>
        <w:t>Consultar los suplementos y políticas especiales que aplican para los periodos de Navidad, Fin de Año y Semana Santa</w:t>
      </w:r>
      <w:r w:rsidR="00FA1C4B" w:rsidRPr="000F54A2">
        <w:rPr>
          <w:sz w:val="18"/>
          <w:szCs w:val="18"/>
        </w:rPr>
        <w:t xml:space="preserve">. </w:t>
      </w:r>
    </w:p>
    <w:p w:rsidR="00FA1C4B" w:rsidRPr="000F54A2" w:rsidRDefault="00FA1C4B" w:rsidP="00EA0873">
      <w:pPr>
        <w:pStyle w:val="Prrafodelista"/>
        <w:numPr>
          <w:ilvl w:val="0"/>
          <w:numId w:val="8"/>
        </w:numPr>
        <w:spacing w:after="80"/>
        <w:ind w:left="851" w:hanging="357"/>
        <w:contextualSpacing w:val="0"/>
        <w:jc w:val="both"/>
        <w:rPr>
          <w:sz w:val="18"/>
          <w:szCs w:val="18"/>
        </w:rPr>
      </w:pPr>
      <w:r w:rsidRPr="000F54A2">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BC6EE8" w:rsidRPr="000F54A2" w:rsidRDefault="006702CE" w:rsidP="00EA0873">
      <w:pPr>
        <w:pStyle w:val="Prrafodelista"/>
        <w:numPr>
          <w:ilvl w:val="0"/>
          <w:numId w:val="8"/>
        </w:numPr>
        <w:spacing w:after="80"/>
        <w:ind w:left="851" w:hanging="357"/>
        <w:contextualSpacing w:val="0"/>
        <w:jc w:val="both"/>
        <w:rPr>
          <w:b/>
          <w:sz w:val="18"/>
          <w:szCs w:val="18"/>
        </w:rPr>
      </w:pPr>
      <w:r w:rsidRPr="000F54A2">
        <w:rPr>
          <w:b/>
          <w:sz w:val="18"/>
          <w:szCs w:val="18"/>
        </w:rPr>
        <w:t>Para los programas con renta de coche 4x4</w:t>
      </w:r>
    </w:p>
    <w:p w:rsidR="006702CE" w:rsidRPr="000F54A2" w:rsidRDefault="006702CE" w:rsidP="00EA0873">
      <w:pPr>
        <w:pStyle w:val="Prrafodelista"/>
        <w:numPr>
          <w:ilvl w:val="0"/>
          <w:numId w:val="9"/>
        </w:numPr>
        <w:spacing w:after="80"/>
        <w:ind w:hanging="357"/>
        <w:contextualSpacing w:val="0"/>
        <w:jc w:val="both"/>
        <w:rPr>
          <w:sz w:val="18"/>
          <w:szCs w:val="18"/>
        </w:rPr>
      </w:pPr>
      <w:r w:rsidRPr="000F54A2">
        <w:rPr>
          <w:sz w:val="18"/>
          <w:szCs w:val="18"/>
        </w:rPr>
        <w:t>Nuestras tarifas incluyen la renta diaria y libre kilometraje.</w:t>
      </w:r>
      <w:r w:rsidRPr="000F54A2">
        <w:t xml:space="preserve"> </w:t>
      </w:r>
    </w:p>
    <w:p w:rsidR="00FA1C4B" w:rsidRPr="000F54A2" w:rsidRDefault="00FA1C4B" w:rsidP="00EA0873">
      <w:pPr>
        <w:pStyle w:val="Prrafodelista"/>
        <w:numPr>
          <w:ilvl w:val="0"/>
          <w:numId w:val="9"/>
        </w:numPr>
        <w:spacing w:after="80"/>
        <w:ind w:hanging="357"/>
        <w:contextualSpacing w:val="0"/>
        <w:jc w:val="both"/>
        <w:rPr>
          <w:sz w:val="18"/>
          <w:szCs w:val="18"/>
        </w:rPr>
      </w:pPr>
      <w:r w:rsidRPr="000F54A2">
        <w:rPr>
          <w:sz w:val="18"/>
          <w:szCs w:val="18"/>
        </w:rPr>
        <w:t>Nuestras tarifas no incluyen: El seguro diario, el depósito de garantía del automóvil, el combustible, suplementos por conductor adicional, las tasas de peaje o los tiquetes de ferry.</w:t>
      </w:r>
    </w:p>
    <w:p w:rsidR="006702CE" w:rsidRPr="000F54A2" w:rsidRDefault="006702CE" w:rsidP="00EA0873">
      <w:pPr>
        <w:pStyle w:val="Prrafodelista"/>
        <w:numPr>
          <w:ilvl w:val="0"/>
          <w:numId w:val="9"/>
        </w:numPr>
        <w:spacing w:after="80"/>
        <w:ind w:hanging="357"/>
        <w:contextualSpacing w:val="0"/>
        <w:jc w:val="both"/>
        <w:rPr>
          <w:sz w:val="18"/>
          <w:szCs w:val="18"/>
        </w:rPr>
      </w:pPr>
      <w:r w:rsidRPr="000F54A2">
        <w:rPr>
          <w:sz w:val="18"/>
          <w:szCs w:val="18"/>
        </w:rPr>
        <w:t>Los seguros diarios y el depósito de garantía deben ser cubiertos por el cliente directamente a la compañía de alquiler de automóviles por medio únicamente de tarjeta de crédito.</w:t>
      </w:r>
    </w:p>
    <w:p w:rsidR="006702CE" w:rsidRPr="000F54A2" w:rsidRDefault="006702CE" w:rsidP="00EA0873">
      <w:pPr>
        <w:pStyle w:val="Prrafodelista"/>
        <w:numPr>
          <w:ilvl w:val="0"/>
          <w:numId w:val="9"/>
        </w:numPr>
        <w:spacing w:after="80"/>
        <w:ind w:hanging="357"/>
        <w:contextualSpacing w:val="0"/>
        <w:jc w:val="both"/>
        <w:rPr>
          <w:sz w:val="18"/>
          <w:szCs w:val="18"/>
        </w:rPr>
      </w:pPr>
      <w:r w:rsidRPr="000F54A2">
        <w:rPr>
          <w:sz w:val="18"/>
          <w:szCs w:val="18"/>
        </w:rPr>
        <w:t xml:space="preserve">El depósito de garantía es de $750.00 dólares en caso que los pasajeros tomen el seguro básico y de $ 100.00 dólares en caso que tomen el seguro de cobertura total. </w:t>
      </w:r>
    </w:p>
    <w:p w:rsidR="00FA1C4B" w:rsidRPr="000F54A2" w:rsidRDefault="00FA1C4B" w:rsidP="00EA0873">
      <w:pPr>
        <w:pStyle w:val="Prrafodelista"/>
        <w:numPr>
          <w:ilvl w:val="0"/>
          <w:numId w:val="9"/>
        </w:numPr>
        <w:spacing w:after="80"/>
        <w:ind w:hanging="357"/>
        <w:contextualSpacing w:val="0"/>
        <w:jc w:val="both"/>
        <w:rPr>
          <w:sz w:val="18"/>
          <w:szCs w:val="18"/>
        </w:rPr>
      </w:pPr>
      <w:r w:rsidRPr="000F54A2">
        <w:rPr>
          <w:sz w:val="18"/>
          <w:szCs w:val="18"/>
        </w:rPr>
        <w:t>Las tarjetas de crédito aceptadas son American Express, Master Card y Visa.</w:t>
      </w:r>
    </w:p>
    <w:p w:rsidR="00FA1C4B" w:rsidRPr="000F54A2" w:rsidRDefault="00FA1C4B" w:rsidP="00EA0873">
      <w:pPr>
        <w:pStyle w:val="Prrafodelista"/>
        <w:numPr>
          <w:ilvl w:val="0"/>
          <w:numId w:val="9"/>
        </w:numPr>
        <w:spacing w:after="80"/>
        <w:ind w:hanging="357"/>
        <w:contextualSpacing w:val="0"/>
        <w:jc w:val="both"/>
        <w:rPr>
          <w:sz w:val="18"/>
          <w:szCs w:val="18"/>
        </w:rPr>
      </w:pPr>
      <w:r w:rsidRPr="000F54A2">
        <w:rPr>
          <w:sz w:val="18"/>
          <w:szCs w:val="18"/>
        </w:rPr>
        <w:t>Los vehículos se entregan con el tanque de combustible lleno y deben ser devueltos de la misma forma, de lo contrario el costo del combustible le será cargado al cliente en su tarjeta de crédito.</w:t>
      </w:r>
    </w:p>
    <w:p w:rsidR="00FA1C4B" w:rsidRPr="000F54A2" w:rsidRDefault="00FA1C4B" w:rsidP="00EA0873">
      <w:pPr>
        <w:pStyle w:val="Prrafodelista"/>
        <w:numPr>
          <w:ilvl w:val="0"/>
          <w:numId w:val="9"/>
        </w:numPr>
        <w:spacing w:after="80"/>
        <w:ind w:hanging="357"/>
        <w:contextualSpacing w:val="0"/>
        <w:jc w:val="both"/>
        <w:rPr>
          <w:sz w:val="18"/>
          <w:szCs w:val="18"/>
        </w:rPr>
      </w:pPr>
      <w:r w:rsidRPr="000F54A2">
        <w:rPr>
          <w:sz w:val="18"/>
          <w:szCs w:val="18"/>
        </w:rPr>
        <w:t>La edad mínima para rentar el vehículo es de 21 de años y con carnet de conducir al día y mínimo 2 años de tenencia.</w:t>
      </w:r>
    </w:p>
    <w:p w:rsidR="00B567C6" w:rsidRDefault="00B567C6" w:rsidP="00EA0873">
      <w:pPr>
        <w:pStyle w:val="Prrafodelista"/>
        <w:spacing w:before="160"/>
        <w:ind w:left="0"/>
        <w:contextualSpacing w:val="0"/>
        <w:jc w:val="center"/>
        <w:rPr>
          <w:sz w:val="18"/>
          <w:szCs w:val="18"/>
        </w:rPr>
      </w:pPr>
    </w:p>
    <w:p w:rsidR="00C64BD3" w:rsidRPr="000F54A2" w:rsidRDefault="00C64BD3" w:rsidP="00EA0873">
      <w:pPr>
        <w:pStyle w:val="Prrafodelista"/>
        <w:spacing w:before="160"/>
        <w:ind w:left="0"/>
        <w:contextualSpacing w:val="0"/>
        <w:jc w:val="center"/>
        <w:rPr>
          <w:sz w:val="18"/>
          <w:szCs w:val="18"/>
        </w:rPr>
      </w:pPr>
      <w:bookmarkStart w:id="0" w:name="_GoBack"/>
      <w:bookmarkEnd w:id="0"/>
      <w:r w:rsidRPr="000F54A2">
        <w:rPr>
          <w:sz w:val="18"/>
          <w:szCs w:val="18"/>
        </w:rPr>
        <w:t>PRECIOS SUJETOS A DISPONIBILIDAD Y CAMBIO SIN PREVIO AVISO</w:t>
      </w:r>
    </w:p>
    <w:sectPr w:rsidR="00C64BD3" w:rsidRPr="000F54A2" w:rsidSect="00223085">
      <w:headerReference w:type="default" r:id="rId10"/>
      <w:footerReference w:type="default" r:id="rId11"/>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ED" w:rsidRDefault="004E04ED" w:rsidP="00870226">
      <w:pPr>
        <w:pStyle w:val="Sinespaciado"/>
      </w:pPr>
      <w:r>
        <w:separator/>
      </w:r>
    </w:p>
  </w:endnote>
  <w:endnote w:type="continuationSeparator" w:id="0">
    <w:p w:rsidR="004E04ED" w:rsidRDefault="004E04ED"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567C6" w:rsidRPr="00B567C6">
                                    <w:rPr>
                                      <w:b/>
                                      <w:bCs/>
                                      <w:noProof/>
                                      <w:color w:val="FFFFFF" w:themeColor="background1"/>
                                      <w:sz w:val="32"/>
                                      <w:szCs w:val="32"/>
                                    </w:rPr>
                                    <w:t>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B567C6" w:rsidRPr="00B567C6">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ED" w:rsidRDefault="004E04ED" w:rsidP="00870226">
      <w:pPr>
        <w:pStyle w:val="Sinespaciado"/>
      </w:pPr>
      <w:r>
        <w:separator/>
      </w:r>
    </w:p>
  </w:footnote>
  <w:footnote w:type="continuationSeparator" w:id="0">
    <w:p w:rsidR="004E04ED" w:rsidRDefault="004E04ED"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16C5"/>
    <w:rsid w:val="00090218"/>
    <w:rsid w:val="000A3247"/>
    <w:rsid w:val="000B454F"/>
    <w:rsid w:val="000C2CDE"/>
    <w:rsid w:val="000E060B"/>
    <w:rsid w:val="000E3BB0"/>
    <w:rsid w:val="000F54A2"/>
    <w:rsid w:val="0010759D"/>
    <w:rsid w:val="00123F8E"/>
    <w:rsid w:val="00125BBE"/>
    <w:rsid w:val="00125DF3"/>
    <w:rsid w:val="001345ED"/>
    <w:rsid w:val="00135BB1"/>
    <w:rsid w:val="00136381"/>
    <w:rsid w:val="00136853"/>
    <w:rsid w:val="00150A18"/>
    <w:rsid w:val="00151C3D"/>
    <w:rsid w:val="00170D17"/>
    <w:rsid w:val="00175A95"/>
    <w:rsid w:val="001761CF"/>
    <w:rsid w:val="001810CB"/>
    <w:rsid w:val="001857FA"/>
    <w:rsid w:val="00186B5B"/>
    <w:rsid w:val="001916AC"/>
    <w:rsid w:val="001C1CB2"/>
    <w:rsid w:val="001C6483"/>
    <w:rsid w:val="001D7826"/>
    <w:rsid w:val="001E4E1A"/>
    <w:rsid w:val="001E64A7"/>
    <w:rsid w:val="00206FFB"/>
    <w:rsid w:val="00214082"/>
    <w:rsid w:val="00223085"/>
    <w:rsid w:val="00254760"/>
    <w:rsid w:val="002660A8"/>
    <w:rsid w:val="0027519B"/>
    <w:rsid w:val="00276B37"/>
    <w:rsid w:val="002A2D78"/>
    <w:rsid w:val="002A5B39"/>
    <w:rsid w:val="002B3388"/>
    <w:rsid w:val="002C09A3"/>
    <w:rsid w:val="002E08CD"/>
    <w:rsid w:val="002E1952"/>
    <w:rsid w:val="002E2897"/>
    <w:rsid w:val="002E381A"/>
    <w:rsid w:val="003025AD"/>
    <w:rsid w:val="003172C0"/>
    <w:rsid w:val="003202BE"/>
    <w:rsid w:val="00330C3E"/>
    <w:rsid w:val="00354A30"/>
    <w:rsid w:val="00356A3B"/>
    <w:rsid w:val="00381857"/>
    <w:rsid w:val="003A0076"/>
    <w:rsid w:val="003A6942"/>
    <w:rsid w:val="003A70F4"/>
    <w:rsid w:val="003B4371"/>
    <w:rsid w:val="003C0AAA"/>
    <w:rsid w:val="003D419D"/>
    <w:rsid w:val="003E4DC6"/>
    <w:rsid w:val="00401E46"/>
    <w:rsid w:val="00413CFD"/>
    <w:rsid w:val="004159FA"/>
    <w:rsid w:val="00450A69"/>
    <w:rsid w:val="00475425"/>
    <w:rsid w:val="00477978"/>
    <w:rsid w:val="00484D45"/>
    <w:rsid w:val="00485A50"/>
    <w:rsid w:val="00496D61"/>
    <w:rsid w:val="004A3B9C"/>
    <w:rsid w:val="004B3453"/>
    <w:rsid w:val="004C5A39"/>
    <w:rsid w:val="004D5A01"/>
    <w:rsid w:val="004E04ED"/>
    <w:rsid w:val="004E0A9A"/>
    <w:rsid w:val="004F7A22"/>
    <w:rsid w:val="00516302"/>
    <w:rsid w:val="00516641"/>
    <w:rsid w:val="00520701"/>
    <w:rsid w:val="005370CE"/>
    <w:rsid w:val="00544FA8"/>
    <w:rsid w:val="00551028"/>
    <w:rsid w:val="0055657B"/>
    <w:rsid w:val="00556619"/>
    <w:rsid w:val="005A2C31"/>
    <w:rsid w:val="005A57D6"/>
    <w:rsid w:val="005D57F9"/>
    <w:rsid w:val="005F7180"/>
    <w:rsid w:val="00616958"/>
    <w:rsid w:val="0064481C"/>
    <w:rsid w:val="00647E7D"/>
    <w:rsid w:val="006647CC"/>
    <w:rsid w:val="00665EB7"/>
    <w:rsid w:val="0066645F"/>
    <w:rsid w:val="006702CE"/>
    <w:rsid w:val="0067514D"/>
    <w:rsid w:val="00683DAF"/>
    <w:rsid w:val="006A445C"/>
    <w:rsid w:val="006B2167"/>
    <w:rsid w:val="006C5B54"/>
    <w:rsid w:val="006E3DA9"/>
    <w:rsid w:val="006F56B1"/>
    <w:rsid w:val="006F6D1F"/>
    <w:rsid w:val="00700E04"/>
    <w:rsid w:val="00722B1A"/>
    <w:rsid w:val="0073335E"/>
    <w:rsid w:val="0073670B"/>
    <w:rsid w:val="00740E54"/>
    <w:rsid w:val="007667D5"/>
    <w:rsid w:val="00787E7E"/>
    <w:rsid w:val="00790515"/>
    <w:rsid w:val="007C0D76"/>
    <w:rsid w:val="007E1DA0"/>
    <w:rsid w:val="007E3DA1"/>
    <w:rsid w:val="007F6EA1"/>
    <w:rsid w:val="00814404"/>
    <w:rsid w:val="00831693"/>
    <w:rsid w:val="00836651"/>
    <w:rsid w:val="00850682"/>
    <w:rsid w:val="00864AF8"/>
    <w:rsid w:val="00870226"/>
    <w:rsid w:val="008A015F"/>
    <w:rsid w:val="008B3865"/>
    <w:rsid w:val="008D60EA"/>
    <w:rsid w:val="00905A10"/>
    <w:rsid w:val="00906870"/>
    <w:rsid w:val="00922C01"/>
    <w:rsid w:val="00927CC9"/>
    <w:rsid w:val="00955157"/>
    <w:rsid w:val="00955F38"/>
    <w:rsid w:val="0095606C"/>
    <w:rsid w:val="00981F16"/>
    <w:rsid w:val="0098218F"/>
    <w:rsid w:val="00984F3E"/>
    <w:rsid w:val="00994C58"/>
    <w:rsid w:val="009B47CE"/>
    <w:rsid w:val="009B63C1"/>
    <w:rsid w:val="009F71E9"/>
    <w:rsid w:val="00A10DAF"/>
    <w:rsid w:val="00A11864"/>
    <w:rsid w:val="00A161B3"/>
    <w:rsid w:val="00A27167"/>
    <w:rsid w:val="00A72CB2"/>
    <w:rsid w:val="00A817DE"/>
    <w:rsid w:val="00A86C3B"/>
    <w:rsid w:val="00A97DB3"/>
    <w:rsid w:val="00AC31CC"/>
    <w:rsid w:val="00AC3E22"/>
    <w:rsid w:val="00AD7B0D"/>
    <w:rsid w:val="00AF77B0"/>
    <w:rsid w:val="00B2243B"/>
    <w:rsid w:val="00B3248D"/>
    <w:rsid w:val="00B3320E"/>
    <w:rsid w:val="00B42A87"/>
    <w:rsid w:val="00B43D8C"/>
    <w:rsid w:val="00B5446B"/>
    <w:rsid w:val="00B567C6"/>
    <w:rsid w:val="00B6584C"/>
    <w:rsid w:val="00B7779F"/>
    <w:rsid w:val="00B802F1"/>
    <w:rsid w:val="00B928B4"/>
    <w:rsid w:val="00B944C9"/>
    <w:rsid w:val="00BA07D9"/>
    <w:rsid w:val="00BA23DE"/>
    <w:rsid w:val="00BB1C62"/>
    <w:rsid w:val="00BC141D"/>
    <w:rsid w:val="00BC1FE3"/>
    <w:rsid w:val="00BC61DC"/>
    <w:rsid w:val="00BC6EE8"/>
    <w:rsid w:val="00BE1600"/>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D36F6"/>
    <w:rsid w:val="00DF11F0"/>
    <w:rsid w:val="00DF5993"/>
    <w:rsid w:val="00E069D8"/>
    <w:rsid w:val="00E113C5"/>
    <w:rsid w:val="00E13719"/>
    <w:rsid w:val="00E17786"/>
    <w:rsid w:val="00E35264"/>
    <w:rsid w:val="00E457B5"/>
    <w:rsid w:val="00E459E3"/>
    <w:rsid w:val="00E603F1"/>
    <w:rsid w:val="00EA0873"/>
    <w:rsid w:val="00EA1A5F"/>
    <w:rsid w:val="00EA6067"/>
    <w:rsid w:val="00EB5295"/>
    <w:rsid w:val="00ED01B9"/>
    <w:rsid w:val="00ED7F8A"/>
    <w:rsid w:val="00F04C85"/>
    <w:rsid w:val="00F234F8"/>
    <w:rsid w:val="00F43149"/>
    <w:rsid w:val="00F4656F"/>
    <w:rsid w:val="00F5699E"/>
    <w:rsid w:val="00F621F0"/>
    <w:rsid w:val="00F74965"/>
    <w:rsid w:val="00F81961"/>
    <w:rsid w:val="00F95B6A"/>
    <w:rsid w:val="00FA1C4B"/>
    <w:rsid w:val="00FA1D15"/>
    <w:rsid w:val="00FA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DA99-EF36-49D6-970C-DFCE29C0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1477</Words>
  <Characters>8126</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6</cp:revision>
  <cp:lastPrinted>2017-10-26T07:59:00Z</cp:lastPrinted>
  <dcterms:created xsi:type="dcterms:W3CDTF">2019-11-03T19:48:00Z</dcterms:created>
  <dcterms:modified xsi:type="dcterms:W3CDTF">2019-11-04T04:13:00Z</dcterms:modified>
</cp:coreProperties>
</file>